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260"/>
        <w:gridCol w:w="2090"/>
      </w:tblGrid>
      <w:tr w:rsidR="008F77F6" w:rsidRPr="00DE2BC0" w14:paraId="3BF45190" w14:textId="77777777" w:rsidTr="009903CF">
        <w:trPr>
          <w:trHeight w:val="826"/>
        </w:trPr>
        <w:tc>
          <w:tcPr>
            <w:tcW w:w="71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5EE3CDD" w14:textId="77777777" w:rsidR="008E2704" w:rsidRPr="000B3FA0" w:rsidRDefault="008E2704" w:rsidP="008E2704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0B3FA0">
              <w:rPr>
                <w:rFonts w:ascii="Arial" w:hAnsi="Arial" w:cs="Arial"/>
                <w:b/>
                <w:color w:val="0070C0"/>
              </w:rPr>
              <w:t>Implementace Metodiky 2017+</w:t>
            </w:r>
          </w:p>
          <w:p w14:paraId="0BE56299" w14:textId="76D9E38F" w:rsidR="008E2704" w:rsidRPr="00640D2A" w:rsidRDefault="00B85955" w:rsidP="00640D2A">
            <w:pPr>
              <w:pStyle w:val="Odstavecseseznamem"/>
              <w:numPr>
                <w:ilvl w:val="0"/>
                <w:numId w:val="30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</w:rPr>
            </w:pPr>
            <w:r w:rsidRPr="00B85955">
              <w:rPr>
                <w:rFonts w:ascii="Arial" w:hAnsi="Arial" w:cs="Arial"/>
                <w:b/>
                <w:color w:val="0070C0"/>
                <w:sz w:val="24"/>
                <w:szCs w:val="24"/>
              </w:rPr>
              <w:t>Vypořádání námitek k</w:t>
            </w:r>
            <w:r w:rsidR="00640D2A">
              <w:rPr>
                <w:rFonts w:ascii="Arial" w:hAnsi="Arial" w:cs="Arial"/>
                <w:b/>
                <w:color w:val="0070C0"/>
                <w:sz w:val="24"/>
                <w:szCs w:val="24"/>
              </w:rPr>
              <w:t> Modulu 1</w:t>
            </w:r>
          </w:p>
          <w:p w14:paraId="4D0F8BE0" w14:textId="44AA691B" w:rsidR="00A125A5" w:rsidRPr="00A125A5" w:rsidRDefault="00A125A5" w:rsidP="00A125A5">
            <w:pPr>
              <w:pStyle w:val="Odstavecseseznamem"/>
              <w:numPr>
                <w:ilvl w:val="0"/>
                <w:numId w:val="30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Workshop</w:t>
            </w:r>
            <w:r w:rsidR="004D46E2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k námit</w:t>
            </w:r>
            <w:r w:rsidR="00640D2A">
              <w:rPr>
                <w:rFonts w:ascii="Arial" w:hAnsi="Arial" w:cs="Arial"/>
                <w:b/>
                <w:color w:val="0070C0"/>
                <w:sz w:val="24"/>
                <w:szCs w:val="24"/>
              </w:rPr>
              <w:t>k</w:t>
            </w:r>
            <w:r w:rsidR="004D46E2">
              <w:rPr>
                <w:rFonts w:ascii="Arial" w:hAnsi="Arial" w:cs="Arial"/>
                <w:b/>
                <w:color w:val="0070C0"/>
                <w:sz w:val="24"/>
                <w:szCs w:val="24"/>
              </w:rPr>
              <w:t>ám</w:t>
            </w:r>
            <w:r w:rsidR="00F619DD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v</w:t>
            </w:r>
            <w:r w:rsidR="00640D2A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 Modulu 1 </w:t>
            </w:r>
          </w:p>
          <w:p w14:paraId="36D36CAB" w14:textId="77777777" w:rsidR="004C6A74" w:rsidRPr="00436675" w:rsidRDefault="006D24C1" w:rsidP="00A125A5">
            <w:pPr>
              <w:pStyle w:val="Odstavecseseznamem"/>
              <w:numPr>
                <w:ilvl w:val="0"/>
                <w:numId w:val="30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H</w:t>
            </w:r>
            <w:r w:rsidR="002F128C">
              <w:rPr>
                <w:rFonts w:ascii="Arial" w:hAnsi="Arial" w:cs="Arial"/>
                <w:b/>
                <w:color w:val="0070C0"/>
                <w:sz w:val="24"/>
                <w:szCs w:val="24"/>
              </w:rPr>
              <w:t>armonogram</w:t>
            </w:r>
            <w:r w:rsidR="004C6A74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tripartitních jednání po</w:t>
            </w:r>
            <w:r w:rsidR="003A628E"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="004C6A74">
              <w:rPr>
                <w:rFonts w:ascii="Arial" w:hAnsi="Arial" w:cs="Arial"/>
                <w:b/>
                <w:color w:val="0070C0"/>
                <w:sz w:val="24"/>
                <w:szCs w:val="24"/>
              </w:rPr>
              <w:t>třetím roce implementace M17+</w:t>
            </w:r>
          </w:p>
          <w:p w14:paraId="0E0BEE9C" w14:textId="67FCB116" w:rsidR="00436675" w:rsidRPr="008E2704" w:rsidRDefault="00436675" w:rsidP="00A125A5">
            <w:pPr>
              <w:pStyle w:val="Odstavecseseznamem"/>
              <w:numPr>
                <w:ilvl w:val="0"/>
                <w:numId w:val="30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</w:rPr>
            </w:pPr>
            <w:r w:rsidRPr="00436675">
              <w:rPr>
                <w:rFonts w:ascii="Arial" w:hAnsi="Arial" w:cs="Arial"/>
                <w:b/>
                <w:color w:val="0070C0"/>
                <w:sz w:val="24"/>
                <w:szCs w:val="24"/>
              </w:rPr>
              <w:t>Informace o činnosti PS KHV pro hodnocení aplikovaného výzkumu</w:t>
            </w:r>
          </w:p>
        </w:tc>
        <w:tc>
          <w:tcPr>
            <w:tcW w:w="209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ACD95AF" w14:textId="1B54CF1A" w:rsidR="008F0FA9" w:rsidRPr="009870E8" w:rsidRDefault="007D214D" w:rsidP="00B8595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1003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049BF" w:rsidRPr="0051003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B85955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AE5F1F" w:rsidRPr="00510038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E2704" w:rsidRPr="00510038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8595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7B138D" w:rsidRPr="00DE2BC0" w14:paraId="7938F08B" w14:textId="77777777" w:rsidTr="007B138D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6E9C5E0" w14:textId="77777777" w:rsidR="007B138D" w:rsidRPr="008F77F6" w:rsidRDefault="007B138D" w:rsidP="007B138D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158DD91" w14:textId="466F2F6D" w:rsidR="007B138D" w:rsidRPr="009903CF" w:rsidRDefault="00811B18" w:rsidP="00092377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Dvořák, </w:t>
            </w:r>
            <w:r w:rsidRPr="00811B18">
              <w:rPr>
                <w:rFonts w:ascii="Arial" w:hAnsi="Arial" w:cs="Arial"/>
                <w:i/>
                <w:sz w:val="22"/>
                <w:szCs w:val="22"/>
              </w:rPr>
              <w:t>prof. Ulrichová</w:t>
            </w:r>
          </w:p>
        </w:tc>
      </w:tr>
      <w:tr w:rsidR="007B138D" w:rsidRPr="00DE2BC0" w14:paraId="19258C72" w14:textId="77777777" w:rsidTr="007B138D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7101DB" w14:textId="77777777" w:rsidR="007B138D" w:rsidRPr="008F77F6" w:rsidRDefault="007B138D" w:rsidP="007B138D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260DDB0" w14:textId="73958847" w:rsidR="007B138D" w:rsidRPr="00115DD5" w:rsidRDefault="00C11345" w:rsidP="00B8595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Mihol</w:t>
            </w:r>
            <w:r w:rsidR="003A4113">
              <w:rPr>
                <w:rFonts w:ascii="Arial" w:hAnsi="Arial" w:cs="Arial"/>
                <w:i/>
                <w:sz w:val="22"/>
                <w:szCs w:val="22"/>
              </w:rPr>
              <w:t>ová</w:t>
            </w:r>
            <w:r w:rsidR="007B138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12F6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D1757A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12F62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D1757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09237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D1757A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811B18">
              <w:rPr>
                <w:rFonts w:ascii="Arial" w:hAnsi="Arial" w:cs="Arial"/>
                <w:i/>
                <w:sz w:val="22"/>
                <w:szCs w:val="22"/>
              </w:rPr>
              <w:t xml:space="preserve"> 1</w:t>
            </w:r>
            <w:r w:rsidR="00B85955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D1757A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9903C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049BF">
              <w:rPr>
                <w:rFonts w:ascii="Arial" w:hAnsi="Arial" w:cs="Arial"/>
                <w:i/>
                <w:sz w:val="22"/>
                <w:szCs w:val="22"/>
              </w:rPr>
              <w:t>2020</w:t>
            </w:r>
            <w:r w:rsidR="00DF2F29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DF2F29">
              <w:rPr>
                <w:rFonts w:ascii="Arial" w:hAnsi="Arial" w:cs="Arial"/>
                <w:i/>
                <w:sz w:val="22"/>
                <w:szCs w:val="22"/>
              </w:rPr>
              <w:t>rev</w:t>
            </w:r>
            <w:proofErr w:type="spellEnd"/>
            <w:r w:rsidR="00DF2F29">
              <w:rPr>
                <w:rFonts w:ascii="Arial" w:hAnsi="Arial" w:cs="Arial"/>
                <w:i/>
                <w:sz w:val="22"/>
                <w:szCs w:val="22"/>
              </w:rPr>
              <w:t>. Moravcová 24.11.</w:t>
            </w:r>
          </w:p>
        </w:tc>
      </w:tr>
      <w:tr w:rsidR="008F77F6" w:rsidRPr="00DE2BC0" w14:paraId="16E9E22B" w14:textId="77777777" w:rsidTr="00CD041C">
        <w:trPr>
          <w:trHeight w:val="963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613817" w14:textId="624CECA4" w:rsidR="00496A04" w:rsidRPr="00467FDF" w:rsidRDefault="00496A04" w:rsidP="00496A04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467FDF">
              <w:rPr>
                <w:i/>
                <w:szCs w:val="22"/>
              </w:rPr>
              <w:t>Souhrn</w:t>
            </w:r>
          </w:p>
          <w:p w14:paraId="418BBE44" w14:textId="77777777" w:rsidR="00B6190A" w:rsidRPr="00C507F7" w:rsidRDefault="00B6190A" w:rsidP="00B6190A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319D4B" w14:textId="39ECCA44" w:rsidR="00900B68" w:rsidRPr="00900B68" w:rsidRDefault="00900B68" w:rsidP="00900B68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900B68">
              <w:rPr>
                <w:rFonts w:ascii="Arial" w:hAnsi="Arial" w:cs="Arial"/>
                <w:sz w:val="22"/>
                <w:szCs w:val="22"/>
              </w:rPr>
              <w:t xml:space="preserve">Rada pro výzkum vývoj a inovace (dále jen „Rada“) </w:t>
            </w:r>
            <w:r w:rsidR="00C507F7" w:rsidRPr="00CB44C1">
              <w:rPr>
                <w:rFonts w:ascii="Arial" w:hAnsi="Arial" w:cs="Arial"/>
                <w:sz w:val="22"/>
                <w:szCs w:val="22"/>
              </w:rPr>
              <w:t>na svém 360. zasedání dne 25.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C507F7" w:rsidRPr="00CB44C1">
              <w:rPr>
                <w:rFonts w:ascii="Arial" w:hAnsi="Arial" w:cs="Arial"/>
                <w:sz w:val="22"/>
                <w:szCs w:val="22"/>
              </w:rPr>
              <w:t xml:space="preserve">září </w:t>
            </w:r>
            <w:r w:rsidR="00C507F7" w:rsidRPr="00900B68">
              <w:rPr>
                <w:rFonts w:ascii="Arial" w:hAnsi="Arial" w:cs="Arial"/>
                <w:sz w:val="22"/>
                <w:szCs w:val="22"/>
              </w:rPr>
              <w:t>2020 schválila zveřejnění výstupů z</w:t>
            </w:r>
            <w:r w:rsidR="00CB44C1" w:rsidRPr="00900B68">
              <w:rPr>
                <w:rFonts w:ascii="Arial" w:hAnsi="Arial" w:cs="Arial"/>
                <w:sz w:val="22"/>
                <w:szCs w:val="22"/>
              </w:rPr>
              <w:t> </w:t>
            </w:r>
            <w:r w:rsidR="00C507F7" w:rsidRPr="00900B68">
              <w:rPr>
                <w:rFonts w:ascii="Arial" w:hAnsi="Arial" w:cs="Arial"/>
                <w:sz w:val="22"/>
                <w:szCs w:val="22"/>
              </w:rPr>
              <w:t>Modulu 1 po třetím roce implementace M17+ a požádala výzkumné organizace v případě potřeby o zpětnou vazbu ke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C507F7" w:rsidRPr="00900B68">
              <w:rPr>
                <w:rFonts w:ascii="Arial" w:hAnsi="Arial" w:cs="Arial"/>
                <w:sz w:val="22"/>
                <w:szCs w:val="22"/>
              </w:rPr>
              <w:t xml:space="preserve">zveřejněným výstupům z hodnocení podle Metodiky 2017+ na národní úrovni a to do 14 dnů od data jejich zpřístupnění. </w:t>
            </w:r>
            <w:r>
              <w:t xml:space="preserve"> </w:t>
            </w:r>
            <w:r w:rsidRPr="00900B68">
              <w:rPr>
                <w:rFonts w:ascii="Arial" w:hAnsi="Arial" w:cs="Arial"/>
                <w:sz w:val="22"/>
                <w:szCs w:val="22"/>
              </w:rPr>
              <w:t>Lhůta pro zasílání podnětů uplynula dne 13. října 2020.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5887880" w14:textId="77777777" w:rsidR="00900B68" w:rsidRDefault="00900B68" w:rsidP="00900B68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0B68">
              <w:rPr>
                <w:rFonts w:ascii="Arial" w:hAnsi="Arial" w:cs="Arial"/>
                <w:sz w:val="22"/>
                <w:szCs w:val="22"/>
              </w:rPr>
              <w:t xml:space="preserve">Komise pro hodnocení výzkumných organizací a ukončených programů (dále jen „KHV“) </w:t>
            </w:r>
            <w:r w:rsidR="00CB44C1" w:rsidRPr="00900B68">
              <w:rPr>
                <w:rFonts w:ascii="Arial" w:hAnsi="Arial" w:cs="Arial"/>
                <w:sz w:val="22"/>
                <w:szCs w:val="22"/>
              </w:rPr>
              <w:t>se </w:t>
            </w:r>
            <w:r w:rsidR="00C507F7" w:rsidRPr="00900B68">
              <w:rPr>
                <w:rFonts w:ascii="Arial" w:hAnsi="Arial" w:cs="Arial"/>
                <w:sz w:val="22"/>
                <w:szCs w:val="22"/>
              </w:rPr>
              <w:t>na</w:t>
            </w:r>
            <w:r w:rsidR="00CB44C1" w:rsidRPr="00900B68">
              <w:rPr>
                <w:rFonts w:ascii="Arial" w:hAnsi="Arial" w:cs="Arial"/>
                <w:sz w:val="22"/>
                <w:szCs w:val="22"/>
              </w:rPr>
              <w:t> </w:t>
            </w:r>
            <w:r w:rsidR="00C507F7" w:rsidRPr="00900B68">
              <w:rPr>
                <w:rFonts w:ascii="Arial" w:hAnsi="Arial" w:cs="Arial"/>
                <w:sz w:val="22"/>
                <w:szCs w:val="22"/>
              </w:rPr>
              <w:t>svém 127. jednání ze dne 5. října 2020 shodla na následujícím postupu: „</w:t>
            </w:r>
            <w:r w:rsidR="00C507F7" w:rsidRPr="00900B68">
              <w:rPr>
                <w:rFonts w:ascii="Arial" w:hAnsi="Arial" w:cs="Arial"/>
                <w:i/>
                <w:sz w:val="22"/>
                <w:szCs w:val="22"/>
              </w:rPr>
              <w:t>Reklamace k</w:t>
            </w:r>
            <w:r w:rsidR="00CB44C1" w:rsidRPr="00900B68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C507F7" w:rsidRPr="00900B68">
              <w:rPr>
                <w:rFonts w:ascii="Arial" w:hAnsi="Arial" w:cs="Arial"/>
                <w:i/>
                <w:sz w:val="22"/>
                <w:szCs w:val="22"/>
              </w:rPr>
              <w:t>zveřejněným výstupům z Modulu 1 budou kompletovány k</w:t>
            </w:r>
            <w:r w:rsidR="00CB44C1" w:rsidRPr="00900B68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C507F7" w:rsidRPr="00900B68">
              <w:rPr>
                <w:rFonts w:ascii="Arial" w:hAnsi="Arial" w:cs="Arial"/>
                <w:i/>
                <w:sz w:val="22"/>
                <w:szCs w:val="22"/>
              </w:rPr>
              <w:t>rozhodnému datu (14 dnů od zpřístupnění veřejnosti) a následně předány k vyjádření předsedům Odborných panelů, resp. garantům hodnocení vybraných výsledků a následně postoupeny KHV a její pracovní skupině k</w:t>
            </w:r>
            <w:r w:rsidR="00CB44C1" w:rsidRPr="00900B68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C507F7" w:rsidRPr="00900B68">
              <w:rPr>
                <w:rFonts w:ascii="Arial" w:hAnsi="Arial" w:cs="Arial"/>
                <w:i/>
                <w:sz w:val="22"/>
                <w:szCs w:val="22"/>
              </w:rPr>
              <w:t>projednání</w:t>
            </w:r>
            <w:r w:rsidR="00C507F7" w:rsidRPr="00900B68">
              <w:rPr>
                <w:rFonts w:ascii="Arial" w:hAnsi="Arial" w:cs="Arial"/>
                <w:sz w:val="22"/>
                <w:szCs w:val="22"/>
              </w:rPr>
              <w:t>.“</w:t>
            </w:r>
            <w:r w:rsidR="0008470D" w:rsidRPr="00900B6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95FA5C7" w14:textId="1CDEE52E" w:rsidR="00AA4B62" w:rsidRDefault="00CB44C1" w:rsidP="00AA4B62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0B68">
              <w:rPr>
                <w:rFonts w:ascii="Arial" w:hAnsi="Arial" w:cs="Arial"/>
                <w:sz w:val="22"/>
                <w:szCs w:val="22"/>
              </w:rPr>
              <w:t>Námitky</w:t>
            </w:r>
            <w:r w:rsidR="00C507F7" w:rsidRPr="00900B68">
              <w:rPr>
                <w:rFonts w:ascii="Arial" w:hAnsi="Arial" w:cs="Arial"/>
                <w:sz w:val="22"/>
                <w:szCs w:val="22"/>
              </w:rPr>
              <w:t xml:space="preserve"> zaslané výzkumnými organizacemi byly shromážděny a</w:t>
            </w:r>
            <w:r w:rsidR="0008470D" w:rsidRPr="00900B68">
              <w:rPr>
                <w:rFonts w:ascii="Arial" w:hAnsi="Arial" w:cs="Arial"/>
                <w:sz w:val="22"/>
                <w:szCs w:val="22"/>
              </w:rPr>
              <w:t> </w:t>
            </w:r>
            <w:r w:rsidR="00C507F7" w:rsidRPr="00900B68">
              <w:rPr>
                <w:rFonts w:ascii="Arial" w:hAnsi="Arial" w:cs="Arial"/>
                <w:sz w:val="22"/>
                <w:szCs w:val="22"/>
              </w:rPr>
              <w:t>evidovány Odborem Ra</w:t>
            </w:r>
            <w:r w:rsidR="00A125A5">
              <w:rPr>
                <w:rFonts w:ascii="Arial" w:hAnsi="Arial" w:cs="Arial"/>
                <w:sz w:val="22"/>
                <w:szCs w:val="22"/>
              </w:rPr>
              <w:t xml:space="preserve">dy pro výzkum, vývoj a inovace. </w:t>
            </w:r>
            <w:r w:rsidR="00900B68" w:rsidRPr="00900B68">
              <w:rPr>
                <w:rFonts w:ascii="Arial" w:hAnsi="Arial" w:cs="Arial"/>
                <w:sz w:val="22"/>
                <w:szCs w:val="22"/>
              </w:rPr>
              <w:t xml:space="preserve">Po uplynutí lhůty byly zaslány příslušným předsedům Odborných panelů (doc. </w:t>
            </w:r>
            <w:proofErr w:type="spellStart"/>
            <w:r w:rsidR="00900B68" w:rsidRPr="00900B68">
              <w:rPr>
                <w:rFonts w:ascii="Arial" w:hAnsi="Arial" w:cs="Arial"/>
                <w:sz w:val="22"/>
                <w:szCs w:val="22"/>
              </w:rPr>
              <w:t>Kozubek</w:t>
            </w:r>
            <w:proofErr w:type="spellEnd"/>
            <w:r w:rsidR="00900B68" w:rsidRPr="00900B68">
              <w:rPr>
                <w:rFonts w:ascii="Arial" w:hAnsi="Arial" w:cs="Arial"/>
                <w:sz w:val="22"/>
                <w:szCs w:val="22"/>
              </w:rPr>
              <w:t xml:space="preserve">, prof. Šebek, prof. Vorel), kteří ve spolupráci s garanty hodnocení vybraných výsledků příslušných oborů zpracovali k jednotlivým námitkám vyjádření Odborného panelu. Tato vyjádření byla projednána na 128. jednání KHV dne 9. listopadu 2020. Výjimku tvoří </w:t>
            </w:r>
            <w:r w:rsidR="00EC6467">
              <w:rPr>
                <w:rFonts w:ascii="Arial" w:hAnsi="Arial" w:cs="Arial"/>
                <w:sz w:val="22"/>
                <w:szCs w:val="22"/>
              </w:rPr>
              <w:t>námitky</w:t>
            </w:r>
            <w:r w:rsidR="00900B68" w:rsidRPr="00900B68">
              <w:rPr>
                <w:rFonts w:ascii="Arial" w:hAnsi="Arial" w:cs="Arial"/>
                <w:sz w:val="22"/>
                <w:szCs w:val="22"/>
              </w:rPr>
              <w:t xml:space="preserve"> zaslané po termínu (UFE AV ČR), které budou na základě rozhodnutí KHV </w:t>
            </w:r>
            <w:r w:rsidR="00EC6467">
              <w:rPr>
                <w:rFonts w:ascii="Arial" w:hAnsi="Arial" w:cs="Arial"/>
                <w:sz w:val="22"/>
                <w:szCs w:val="22"/>
              </w:rPr>
              <w:t xml:space="preserve">vypořádány a </w:t>
            </w:r>
            <w:r w:rsidR="00900B68" w:rsidRPr="00900B68">
              <w:rPr>
                <w:rFonts w:ascii="Arial" w:hAnsi="Arial" w:cs="Arial"/>
                <w:sz w:val="22"/>
                <w:szCs w:val="22"/>
              </w:rPr>
              <w:t>projednány dodatečně.</w:t>
            </w:r>
            <w:r w:rsidR="003A35D0">
              <w:rPr>
                <w:rFonts w:ascii="Arial" w:hAnsi="Arial" w:cs="Arial"/>
                <w:sz w:val="22"/>
                <w:szCs w:val="22"/>
              </w:rPr>
              <w:t xml:space="preserve"> Námitky budou následně vypořádány se</w:t>
            </w:r>
            <w:r w:rsidR="00F619DD">
              <w:rPr>
                <w:rFonts w:ascii="Arial" w:hAnsi="Arial" w:cs="Arial"/>
                <w:sz w:val="22"/>
                <w:szCs w:val="22"/>
              </w:rPr>
              <w:t> </w:t>
            </w:r>
            <w:r w:rsidR="003A35D0">
              <w:rPr>
                <w:rFonts w:ascii="Arial" w:hAnsi="Arial" w:cs="Arial"/>
                <w:sz w:val="22"/>
                <w:szCs w:val="22"/>
              </w:rPr>
              <w:t>stěžovateli prostřednictvím Odboru Rady.</w:t>
            </w:r>
          </w:p>
          <w:p w14:paraId="3C39534D" w14:textId="77777777" w:rsidR="00AA4B62" w:rsidRDefault="00EC6467" w:rsidP="00AA4B62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07F7">
              <w:rPr>
                <w:rFonts w:ascii="Arial" w:hAnsi="Arial" w:cs="Arial"/>
                <w:sz w:val="22"/>
                <w:szCs w:val="22"/>
                <w:u w:val="single"/>
              </w:rPr>
              <w:t xml:space="preserve">Odborný panel 1. Natural </w:t>
            </w:r>
            <w:proofErr w:type="spellStart"/>
            <w:r w:rsidRPr="00C507F7">
              <w:rPr>
                <w:rFonts w:ascii="Arial" w:hAnsi="Arial" w:cs="Arial"/>
                <w:sz w:val="22"/>
                <w:szCs w:val="22"/>
                <w:u w:val="single"/>
              </w:rPr>
              <w:t>Sciences</w:t>
            </w:r>
            <w:proofErr w:type="spellEnd"/>
            <w:r w:rsidRPr="00AD2FF8">
              <w:rPr>
                <w:rFonts w:ascii="Arial" w:hAnsi="Arial" w:cs="Arial"/>
                <w:sz w:val="22"/>
                <w:szCs w:val="22"/>
              </w:rPr>
              <w:t xml:space="preserve"> zpracoval </w:t>
            </w:r>
            <w:r>
              <w:rPr>
                <w:rFonts w:ascii="Arial" w:hAnsi="Arial" w:cs="Arial"/>
                <w:sz w:val="22"/>
                <w:szCs w:val="22"/>
              </w:rPr>
              <w:t xml:space="preserve">vyjádření pro 2 </w:t>
            </w:r>
            <w:r w:rsidRPr="00C507F7">
              <w:rPr>
                <w:rFonts w:ascii="Arial" w:hAnsi="Arial" w:cs="Arial"/>
                <w:sz w:val="22"/>
                <w:szCs w:val="22"/>
              </w:rPr>
              <w:t>výzkumné instituce (Ostravská univerzita, SVÚOM, s</w:t>
            </w:r>
            <w:r w:rsidRPr="00EC6467">
              <w:rPr>
                <w:rFonts w:ascii="Arial" w:hAnsi="Arial" w:cs="Arial"/>
                <w:sz w:val="22"/>
                <w:szCs w:val="22"/>
              </w:rPr>
              <w:t>.r.o.)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70824CD" w14:textId="65E3BE1D" w:rsidR="00AA4B62" w:rsidRDefault="00EC6467" w:rsidP="00AA4B62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6467">
              <w:rPr>
                <w:rFonts w:ascii="Arial" w:hAnsi="Arial" w:cs="Arial"/>
                <w:sz w:val="22"/>
                <w:szCs w:val="22"/>
                <w:u w:val="single"/>
              </w:rPr>
              <w:t xml:space="preserve">Odborný panel 2. </w:t>
            </w:r>
            <w:proofErr w:type="spellStart"/>
            <w:r w:rsidRPr="00EC6467">
              <w:rPr>
                <w:rFonts w:ascii="Arial" w:hAnsi="Arial" w:cs="Arial"/>
                <w:sz w:val="22"/>
                <w:szCs w:val="22"/>
                <w:u w:val="single"/>
              </w:rPr>
              <w:t>Engineering</w:t>
            </w:r>
            <w:proofErr w:type="spellEnd"/>
            <w:r w:rsidRPr="00EC6467">
              <w:rPr>
                <w:rFonts w:ascii="Arial" w:hAnsi="Arial" w:cs="Arial"/>
                <w:sz w:val="22"/>
                <w:szCs w:val="22"/>
                <w:u w:val="single"/>
              </w:rPr>
              <w:t xml:space="preserve"> and Technology</w:t>
            </w:r>
            <w:r w:rsidRPr="00EC6467">
              <w:rPr>
                <w:rFonts w:ascii="Arial" w:hAnsi="Arial" w:cs="Arial"/>
                <w:sz w:val="22"/>
                <w:szCs w:val="22"/>
              </w:rPr>
              <w:t xml:space="preserve"> zpracoval vyjádření pro 1</w:t>
            </w:r>
            <w:r w:rsidR="00DD5E2C">
              <w:rPr>
                <w:rFonts w:ascii="Arial" w:hAnsi="Arial" w:cs="Arial"/>
                <w:sz w:val="22"/>
                <w:szCs w:val="22"/>
              </w:rPr>
              <w:t>1</w:t>
            </w:r>
            <w:r w:rsidRPr="00EC6467">
              <w:rPr>
                <w:rFonts w:ascii="Arial" w:hAnsi="Arial" w:cs="Arial"/>
                <w:sz w:val="22"/>
                <w:szCs w:val="22"/>
              </w:rPr>
              <w:t xml:space="preserve"> výzkumných organizací (Centrum výzkumu Řež, </w:t>
            </w:r>
            <w:r w:rsidR="00DD5E2C">
              <w:rPr>
                <w:rFonts w:ascii="Arial" w:hAnsi="Arial" w:cs="Arial"/>
                <w:sz w:val="22"/>
                <w:szCs w:val="22"/>
              </w:rPr>
              <w:t xml:space="preserve">COMTES FTH, </w:t>
            </w:r>
            <w:r w:rsidRPr="00EC6467">
              <w:rPr>
                <w:rFonts w:ascii="Arial" w:hAnsi="Arial" w:cs="Arial"/>
                <w:sz w:val="22"/>
                <w:szCs w:val="22"/>
              </w:rPr>
              <w:t>Materiálový a</w:t>
            </w:r>
            <w:r w:rsidR="00DD5E2C">
              <w:rPr>
                <w:rFonts w:ascii="Arial" w:hAnsi="Arial" w:cs="Arial"/>
                <w:sz w:val="22"/>
                <w:szCs w:val="22"/>
              </w:rPr>
              <w:t> </w:t>
            </w:r>
            <w:r w:rsidRPr="00EC6467">
              <w:rPr>
                <w:rFonts w:ascii="Arial" w:hAnsi="Arial" w:cs="Arial"/>
                <w:sz w:val="22"/>
                <w:szCs w:val="22"/>
              </w:rPr>
              <w:t>metalurgický výzkum, s.r.o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C646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C6467">
              <w:rPr>
                <w:rFonts w:ascii="Arial" w:hAnsi="Arial" w:cs="Arial"/>
                <w:sz w:val="22"/>
                <w:szCs w:val="22"/>
              </w:rPr>
              <w:t>MemBrain</w:t>
            </w:r>
            <w:proofErr w:type="spellEnd"/>
            <w:r w:rsidRPr="00EC6467">
              <w:rPr>
                <w:rFonts w:ascii="Arial" w:hAnsi="Arial" w:cs="Arial"/>
                <w:sz w:val="22"/>
                <w:szCs w:val="22"/>
              </w:rPr>
              <w:t xml:space="preserve"> s.r.o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C6467">
              <w:rPr>
                <w:rFonts w:ascii="Arial" w:hAnsi="Arial" w:cs="Arial"/>
                <w:sz w:val="22"/>
                <w:szCs w:val="22"/>
              </w:rPr>
              <w:t>, SVÚOM, SVÚM a.s., VUT, VÚTS, a.s., Výzkumný ústav stavebních hmot, Výzkumný a zkušební letecký ústav, a.s., Výzkumný a</w:t>
            </w:r>
            <w:r w:rsidR="00AA4B62">
              <w:rPr>
                <w:rFonts w:ascii="Arial" w:hAnsi="Arial" w:cs="Arial"/>
                <w:sz w:val="22"/>
                <w:szCs w:val="22"/>
              </w:rPr>
              <w:t> </w:t>
            </w:r>
            <w:r w:rsidRPr="00EC6467">
              <w:rPr>
                <w:rFonts w:ascii="Arial" w:hAnsi="Arial" w:cs="Arial"/>
                <w:sz w:val="22"/>
                <w:szCs w:val="22"/>
              </w:rPr>
              <w:t>zkušební ú</w:t>
            </w:r>
            <w:r w:rsidR="00DD5E2C">
              <w:rPr>
                <w:rFonts w:ascii="Arial" w:hAnsi="Arial" w:cs="Arial"/>
                <w:sz w:val="22"/>
                <w:szCs w:val="22"/>
              </w:rPr>
              <w:t>stav Plzeň  s.r.o.) v rozsahu 150 str. vč.</w:t>
            </w:r>
            <w:r w:rsidRPr="00EC6467">
              <w:rPr>
                <w:rFonts w:ascii="Arial" w:hAnsi="Arial" w:cs="Arial"/>
                <w:sz w:val="22"/>
                <w:szCs w:val="22"/>
              </w:rPr>
              <w:t xml:space="preserve"> souhrn</w:t>
            </w:r>
            <w:r w:rsidR="00DD5E2C">
              <w:rPr>
                <w:rFonts w:ascii="Arial" w:hAnsi="Arial" w:cs="Arial"/>
                <w:sz w:val="22"/>
                <w:szCs w:val="22"/>
              </w:rPr>
              <w:t>u</w:t>
            </w:r>
            <w:r w:rsidRPr="00EC646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488E984" w14:textId="1714E0FE" w:rsidR="00EC6467" w:rsidRDefault="00EC6467" w:rsidP="00AA4B62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6467">
              <w:rPr>
                <w:rFonts w:ascii="Arial" w:hAnsi="Arial" w:cs="Arial"/>
                <w:sz w:val="22"/>
                <w:szCs w:val="22"/>
                <w:u w:val="single"/>
              </w:rPr>
              <w:t xml:space="preserve">Odborný panel 6. </w:t>
            </w:r>
            <w:proofErr w:type="spellStart"/>
            <w:r w:rsidRPr="00EC6467">
              <w:rPr>
                <w:rFonts w:ascii="Arial" w:hAnsi="Arial" w:cs="Arial"/>
                <w:sz w:val="22"/>
                <w:szCs w:val="22"/>
                <w:u w:val="single"/>
              </w:rPr>
              <w:t>Humanities</w:t>
            </w:r>
            <w:proofErr w:type="spellEnd"/>
            <w:r w:rsidRPr="00EC6467">
              <w:rPr>
                <w:rFonts w:ascii="Arial" w:hAnsi="Arial" w:cs="Arial"/>
                <w:sz w:val="22"/>
                <w:szCs w:val="22"/>
                <w:u w:val="single"/>
              </w:rPr>
              <w:t xml:space="preserve"> and </w:t>
            </w:r>
            <w:proofErr w:type="spellStart"/>
            <w:r w:rsidRPr="00EC6467">
              <w:rPr>
                <w:rFonts w:ascii="Arial" w:hAnsi="Arial" w:cs="Arial"/>
                <w:sz w:val="22"/>
                <w:szCs w:val="22"/>
                <w:u w:val="single"/>
              </w:rPr>
              <w:t>the</w:t>
            </w:r>
            <w:proofErr w:type="spellEnd"/>
            <w:r w:rsidRPr="00EC6467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C6467">
              <w:rPr>
                <w:rFonts w:ascii="Arial" w:hAnsi="Arial" w:cs="Arial"/>
                <w:sz w:val="22"/>
                <w:szCs w:val="22"/>
                <w:u w:val="single"/>
              </w:rPr>
              <w:t>Arts</w:t>
            </w:r>
            <w:proofErr w:type="spellEnd"/>
            <w:r w:rsidRPr="00EC6467">
              <w:rPr>
                <w:rFonts w:ascii="Arial" w:hAnsi="Arial" w:cs="Arial"/>
                <w:sz w:val="22"/>
                <w:szCs w:val="22"/>
              </w:rPr>
              <w:t xml:space="preserve"> zpracoval vyjádření pro 2 výzkumné instituce (Ústav dějin umění AV ČR, Univerzita</w:t>
            </w:r>
            <w:r w:rsidRPr="00C507F7">
              <w:rPr>
                <w:rFonts w:ascii="Arial" w:hAnsi="Arial" w:cs="Arial"/>
                <w:sz w:val="22"/>
                <w:szCs w:val="22"/>
              </w:rPr>
              <w:t xml:space="preserve"> Pardubice)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229531C" w14:textId="77777777" w:rsidR="00CB44C1" w:rsidRPr="00025F16" w:rsidRDefault="00CB44C1" w:rsidP="00C507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0E8901" w14:textId="6DDD4B11" w:rsidR="00C507F7" w:rsidRPr="00FC3C07" w:rsidRDefault="00C507F7" w:rsidP="00C507F7">
            <w:pPr>
              <w:rPr>
                <w:rFonts w:ascii="Arial" w:hAnsi="Arial" w:cs="Arial"/>
                <w:b/>
                <w:color w:val="0070C0"/>
              </w:rPr>
            </w:pPr>
            <w:r w:rsidRPr="00FC3C07">
              <w:rPr>
                <w:rFonts w:ascii="Arial" w:hAnsi="Arial" w:cs="Arial"/>
                <w:b/>
                <w:color w:val="0070C0"/>
              </w:rPr>
              <w:t xml:space="preserve">ZASLANÉ </w:t>
            </w:r>
            <w:r w:rsidR="0008470D" w:rsidRPr="00FC3C07">
              <w:rPr>
                <w:rFonts w:ascii="Arial" w:hAnsi="Arial" w:cs="Arial"/>
                <w:b/>
                <w:color w:val="0070C0"/>
              </w:rPr>
              <w:t>NÁMITKY</w:t>
            </w:r>
          </w:p>
          <w:tbl>
            <w:tblPr>
              <w:tblStyle w:val="Mkatabulky"/>
              <w:tblW w:w="8814" w:type="dxa"/>
              <w:tblLook w:val="04A0" w:firstRow="1" w:lastRow="0" w:firstColumn="1" w:lastColumn="0" w:noHBand="0" w:noVBand="1"/>
            </w:tblPr>
            <w:tblGrid>
              <w:gridCol w:w="1450"/>
              <w:gridCol w:w="2682"/>
              <w:gridCol w:w="1034"/>
              <w:gridCol w:w="1188"/>
              <w:gridCol w:w="2460"/>
            </w:tblGrid>
            <w:tr w:rsidR="00C507F7" w:rsidRPr="009B6A90" w14:paraId="2E62D49F" w14:textId="77777777" w:rsidTr="00FC3C07">
              <w:trPr>
                <w:trHeight w:val="290"/>
              </w:trPr>
              <w:tc>
                <w:tcPr>
                  <w:tcW w:w="1450" w:type="dxa"/>
                  <w:shd w:val="clear" w:color="auto" w:fill="C6D9F1" w:themeFill="text2" w:themeFillTint="33"/>
                  <w:noWrap/>
                  <w:hideMark/>
                </w:tcPr>
                <w:p w14:paraId="61AAE293" w14:textId="77777777" w:rsidR="00C507F7" w:rsidRPr="00FC3C07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</w:pPr>
                  <w:r w:rsidRPr="00FC3C07"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  <w:t>Poskytovatel</w:t>
                  </w:r>
                </w:p>
              </w:tc>
              <w:tc>
                <w:tcPr>
                  <w:tcW w:w="2682" w:type="dxa"/>
                  <w:shd w:val="clear" w:color="auto" w:fill="C6D9F1" w:themeFill="text2" w:themeFillTint="33"/>
                  <w:noWrap/>
                  <w:hideMark/>
                </w:tcPr>
                <w:p w14:paraId="73C2FAF0" w14:textId="77777777" w:rsidR="00C507F7" w:rsidRPr="00FC3C07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</w:pPr>
                  <w:r w:rsidRPr="00FC3C07"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  <w:t>Výzkumná organizace</w:t>
                  </w:r>
                </w:p>
              </w:tc>
              <w:tc>
                <w:tcPr>
                  <w:tcW w:w="1034" w:type="dxa"/>
                  <w:shd w:val="clear" w:color="auto" w:fill="C6D9F1" w:themeFill="text2" w:themeFillTint="33"/>
                  <w:noWrap/>
                  <w:hideMark/>
                </w:tcPr>
                <w:p w14:paraId="1A21CBB7" w14:textId="77777777" w:rsidR="00C507F7" w:rsidRPr="00FC3C07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</w:pPr>
                  <w:r w:rsidRPr="00FC3C07"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  <w:t>Počet stížností</w:t>
                  </w:r>
                </w:p>
              </w:tc>
              <w:tc>
                <w:tcPr>
                  <w:tcW w:w="1188" w:type="dxa"/>
                  <w:shd w:val="clear" w:color="auto" w:fill="C6D9F1" w:themeFill="text2" w:themeFillTint="33"/>
                  <w:noWrap/>
                  <w:hideMark/>
                </w:tcPr>
                <w:p w14:paraId="1D90EF25" w14:textId="77777777" w:rsidR="00C507F7" w:rsidRPr="00FC3C07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</w:pPr>
                  <w:r w:rsidRPr="00FC3C07"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  <w:t xml:space="preserve">OP </w:t>
                  </w:r>
                </w:p>
              </w:tc>
              <w:tc>
                <w:tcPr>
                  <w:tcW w:w="2460" w:type="dxa"/>
                  <w:shd w:val="clear" w:color="auto" w:fill="C6D9F1" w:themeFill="text2" w:themeFillTint="33"/>
                  <w:noWrap/>
                  <w:hideMark/>
                </w:tcPr>
                <w:p w14:paraId="5C3312BD" w14:textId="77777777" w:rsidR="00C507F7" w:rsidRPr="00FC3C07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</w:pPr>
                  <w:r w:rsidRPr="00FC3C07"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  <w:t>Pozn.</w:t>
                  </w:r>
                </w:p>
              </w:tc>
            </w:tr>
            <w:tr w:rsidR="0008470D" w:rsidRPr="009B6A90" w14:paraId="5B644C7D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2083AA2F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76249F6B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Centrum výzkumu Řež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7604BD9C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2EEAFFAF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085FB9B7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DD5E2C" w:rsidRPr="009B6A90" w14:paraId="50A9F096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</w:tcPr>
                <w:p w14:paraId="6733A675" w14:textId="62FA472E" w:rsidR="00DD5E2C" w:rsidRPr="007670F3" w:rsidRDefault="00DD5E2C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</w:tcPr>
                <w:p w14:paraId="4385C40D" w14:textId="487E3754" w:rsidR="00DD5E2C" w:rsidRPr="007670F3" w:rsidRDefault="00DD5E2C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COMTES FTH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</w:tcPr>
                <w:p w14:paraId="7DBEEFA0" w14:textId="2D1D5FAB" w:rsidR="00DD5E2C" w:rsidRPr="00597229" w:rsidRDefault="00DD5E2C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</w:tcPr>
                <w:p w14:paraId="20FBC337" w14:textId="711F8CBE" w:rsidR="00DD5E2C" w:rsidRPr="00597229" w:rsidRDefault="00DD5E2C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</w:tcPr>
                <w:p w14:paraId="757CD2A5" w14:textId="0EF08950" w:rsidR="00DD5E2C" w:rsidRPr="00DD5E2C" w:rsidRDefault="00DD5E2C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5E2C">
                    <w:rPr>
                      <w:rFonts w:ascii="Arial" w:hAnsi="Arial" w:cs="Arial"/>
                      <w:sz w:val="20"/>
                      <w:szCs w:val="20"/>
                    </w:rPr>
                    <w:t>8 stížností na H18</w:t>
                  </w:r>
                </w:p>
              </w:tc>
            </w:tr>
            <w:tr w:rsidR="0008470D" w:rsidRPr="009B6A90" w14:paraId="28C692B8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31D73B4A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290A6498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Materiálový a metalurgický výzkum, s.r.o.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0EC1E57A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3F8D2D05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2604FF65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17181A49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64F76C31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02FE7B5B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MemBrain</w:t>
                  </w:r>
                  <w:proofErr w:type="spellEnd"/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s.r.o.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77CF0695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5C3C68A2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1486EBFE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43019B9E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</w:tcPr>
                <w:p w14:paraId="12B5200A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</w:tcPr>
                <w:p w14:paraId="499AD7FB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SVÚOM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</w:tcPr>
                <w:p w14:paraId="545C8270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</w:tcPr>
                <w:p w14:paraId="7C04DCBF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OP2, OP1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</w:tcPr>
                <w:p w14:paraId="61959853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stížnos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 na H18</w:t>
                  </w:r>
                </w:p>
              </w:tc>
            </w:tr>
            <w:tr w:rsidR="0008470D" w:rsidRPr="009B6A90" w14:paraId="4F45CEE0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2FBBD2B8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538F99E9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SVÚM a.s.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47105AE8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597C5943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OP1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12793729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50DFD341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441E3CF1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5714D406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VÚTS, a.s.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5516C84A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660E9E1D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59D4B991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24135E00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35B84DD0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7A8DFF4C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Výzkumný ústav stavebních hmot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3488058A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61494D95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54322DC9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1EA66B38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1609E1A5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142240E6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Výzkumný a zkušební letecký ústav, a.s.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012075C0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5551F115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439AA485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3F9E079B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716C0235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579D944D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Výzkumný a zkušební ústav Plzeň  s.r.o.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534F4149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22887C44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69140202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3225C5BF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0E974564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MŠMT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5C4DC406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Ostravská univerzita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2E660AF3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1BBECDEB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OP1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01EE6859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4EAF32D1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6E1FF8B1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MŠMT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5B949A02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Univerzita Pardubice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6EE5145E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654B4B97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OP6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149FB9FF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4ADD7497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323D6B32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MŠMT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79462CE2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VUT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1434E47F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4C2EA27E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341CAB1E" w14:textId="77777777" w:rsidR="00C507F7" w:rsidRPr="009B6A90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8470D" w:rsidRPr="009B6A90" w14:paraId="0C86C338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2CCEA4C4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AV ČR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0E93B9DD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Ústav dějin umění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544E11C6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520CC580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OP6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4F01A0E8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8470D" w:rsidRPr="009B6A90" w14:paraId="0B12D3C8" w14:textId="77777777" w:rsidTr="00597229">
              <w:trPr>
                <w:trHeight w:val="290"/>
              </w:trPr>
              <w:tc>
                <w:tcPr>
                  <w:tcW w:w="1450" w:type="dxa"/>
                  <w:shd w:val="clear" w:color="auto" w:fill="auto"/>
                  <w:noWrap/>
                  <w:hideMark/>
                </w:tcPr>
                <w:p w14:paraId="28FBF424" w14:textId="77777777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AV ČR</w:t>
                  </w:r>
                </w:p>
              </w:tc>
              <w:tc>
                <w:tcPr>
                  <w:tcW w:w="2682" w:type="dxa"/>
                  <w:shd w:val="clear" w:color="auto" w:fill="auto"/>
                  <w:noWrap/>
                  <w:hideMark/>
                </w:tcPr>
                <w:p w14:paraId="64D1D6C7" w14:textId="0BE0A56E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Ústav </w:t>
                  </w:r>
                  <w:proofErr w:type="spellStart"/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fotoniky</w:t>
                  </w:r>
                  <w:proofErr w:type="spellEnd"/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a</w:t>
                  </w:r>
                  <w:r w:rsidR="0082042A">
                    <w:rPr>
                      <w:rFonts w:ascii="Arial" w:hAnsi="Arial" w:cs="Arial"/>
                      <w:b/>
                      <w:sz w:val="20"/>
                      <w:szCs w:val="20"/>
                    </w:rPr>
                    <w:t> </w:t>
                  </w:r>
                  <w:r w:rsidRPr="007670F3">
                    <w:rPr>
                      <w:rFonts w:ascii="Arial" w:hAnsi="Arial" w:cs="Arial"/>
                      <w:b/>
                      <w:sz w:val="20"/>
                      <w:szCs w:val="20"/>
                    </w:rPr>
                    <w:t>elektroniky</w:t>
                  </w:r>
                </w:p>
              </w:tc>
              <w:tc>
                <w:tcPr>
                  <w:tcW w:w="1034" w:type="dxa"/>
                  <w:shd w:val="clear" w:color="auto" w:fill="auto"/>
                  <w:noWrap/>
                  <w:hideMark/>
                </w:tcPr>
                <w:p w14:paraId="612977FE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14:paraId="0EED341A" w14:textId="77777777" w:rsidR="00C507F7" w:rsidRPr="00597229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229">
                    <w:rPr>
                      <w:rFonts w:ascii="Arial" w:hAnsi="Arial" w:cs="Arial"/>
                      <w:sz w:val="20"/>
                      <w:szCs w:val="20"/>
                    </w:rPr>
                    <w:t>OP1, OP2</w:t>
                  </w:r>
                </w:p>
              </w:tc>
              <w:tc>
                <w:tcPr>
                  <w:tcW w:w="2460" w:type="dxa"/>
                  <w:shd w:val="clear" w:color="auto" w:fill="auto"/>
                  <w:noWrap/>
                  <w:hideMark/>
                </w:tcPr>
                <w:p w14:paraId="3CF48158" w14:textId="473F64DC" w:rsidR="00C507F7" w:rsidRPr="007670F3" w:rsidRDefault="00C507F7" w:rsidP="00010080">
                  <w:pPr>
                    <w:framePr w:hSpace="141" w:wrap="around" w:vAnchor="page" w:hAnchor="margin" w:y="165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44C1">
                    <w:rPr>
                      <w:rFonts w:ascii="Arial" w:hAnsi="Arial" w:cs="Arial"/>
                      <w:b/>
                      <w:sz w:val="20"/>
                      <w:szCs w:val="20"/>
                    </w:rPr>
                    <w:t>po termínu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CB44C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7670F3">
                    <w:rPr>
                      <w:rFonts w:ascii="Arial" w:hAnsi="Arial" w:cs="Arial"/>
                      <w:sz w:val="20"/>
                      <w:szCs w:val="20"/>
                    </w:rPr>
                    <w:t>stížnos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 na</w:t>
                  </w:r>
                  <w:r w:rsidR="00CB44C1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H18</w:t>
                  </w:r>
                </w:p>
              </w:tc>
            </w:tr>
          </w:tbl>
          <w:p w14:paraId="49662102" w14:textId="77777777" w:rsidR="00C507F7" w:rsidRPr="007670F3" w:rsidRDefault="00C507F7" w:rsidP="00C507F7">
            <w:pPr>
              <w:jc w:val="both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14:paraId="65FD8170" w14:textId="30C5FA72" w:rsidR="004C6A74" w:rsidRDefault="00EC6467" w:rsidP="00C507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6467">
              <w:rPr>
                <w:rFonts w:ascii="Arial" w:hAnsi="Arial" w:cs="Arial"/>
                <w:sz w:val="22"/>
                <w:szCs w:val="22"/>
              </w:rPr>
              <w:t>Vyjádření předsedů Odborných panelů byla detailně projednána na 128. jednání KHV dne 9. listopadu 2020. KHV rozhodla, aby námitky a vyjádření OP byly následně v předložené podobě poskytnuty členům Rady a PS pro aplikovaný výzkum, ve které je zastoupena řada stěžovatelů (zástupců výzkumných organizací, které předložily námitky)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AD2F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25B677" w14:textId="5FD5BEE8" w:rsidR="003A35D0" w:rsidRDefault="003A35D0" w:rsidP="00C507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FB17CC" w14:textId="2EDB5F6E" w:rsidR="004C6A74" w:rsidRPr="00F44359" w:rsidRDefault="00EC6467" w:rsidP="00F4435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A74">
              <w:rPr>
                <w:rFonts w:ascii="Arial" w:hAnsi="Arial" w:cs="Arial"/>
                <w:sz w:val="22"/>
                <w:szCs w:val="22"/>
              </w:rPr>
              <w:t xml:space="preserve">S ohledem na dominanci stěžovatelů z řad rezortních výzkumných organizací </w:t>
            </w:r>
            <w:r w:rsidR="00A125A5">
              <w:rPr>
                <w:rFonts w:ascii="Arial" w:hAnsi="Arial" w:cs="Arial"/>
                <w:sz w:val="22"/>
                <w:szCs w:val="22"/>
              </w:rPr>
              <w:t xml:space="preserve">některých poskytovatelů </w:t>
            </w:r>
            <w:r w:rsidRPr="004C6A74">
              <w:rPr>
                <w:rFonts w:ascii="Arial" w:hAnsi="Arial" w:cs="Arial"/>
                <w:sz w:val="22"/>
                <w:szCs w:val="22"/>
              </w:rPr>
              <w:t xml:space="preserve">KHV </w:t>
            </w:r>
            <w:r w:rsidR="004C6A74" w:rsidRPr="004C6A74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F44359">
              <w:rPr>
                <w:rFonts w:ascii="Arial" w:hAnsi="Arial" w:cs="Arial"/>
                <w:sz w:val="22"/>
                <w:szCs w:val="22"/>
              </w:rPr>
              <w:t xml:space="preserve">svém </w:t>
            </w:r>
            <w:r w:rsidR="004C6A74" w:rsidRPr="004C6A74">
              <w:rPr>
                <w:rFonts w:ascii="Arial" w:hAnsi="Arial" w:cs="Arial"/>
                <w:sz w:val="22"/>
                <w:szCs w:val="22"/>
              </w:rPr>
              <w:t>128. svém jednání</w:t>
            </w:r>
            <w:r w:rsidRPr="004C6A74">
              <w:rPr>
                <w:rFonts w:ascii="Arial" w:hAnsi="Arial" w:cs="Arial"/>
                <w:sz w:val="22"/>
                <w:szCs w:val="22"/>
              </w:rPr>
              <w:t xml:space="preserve"> navrhla, aby Odbor Rady </w:t>
            </w:r>
            <w:r w:rsidR="00A125A5">
              <w:rPr>
                <w:rFonts w:ascii="Arial" w:hAnsi="Arial" w:cs="Arial"/>
                <w:sz w:val="22"/>
                <w:szCs w:val="22"/>
              </w:rPr>
              <w:t>uspořádal</w:t>
            </w:r>
            <w:r w:rsidRPr="004C6A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35D0" w:rsidRPr="004C6A74">
              <w:rPr>
                <w:rFonts w:ascii="Arial" w:hAnsi="Arial" w:cs="Arial"/>
                <w:sz w:val="22"/>
                <w:szCs w:val="22"/>
              </w:rPr>
              <w:t>k </w:t>
            </w:r>
            <w:r w:rsidR="003A35D0">
              <w:rPr>
                <w:rFonts w:ascii="Arial" w:hAnsi="Arial" w:cs="Arial"/>
                <w:sz w:val="22"/>
                <w:szCs w:val="22"/>
              </w:rPr>
              <w:t>problematice</w:t>
            </w:r>
            <w:r w:rsidR="003A35D0" w:rsidRPr="004C6A74">
              <w:rPr>
                <w:rFonts w:ascii="Arial" w:hAnsi="Arial" w:cs="Arial"/>
                <w:sz w:val="22"/>
                <w:szCs w:val="22"/>
              </w:rPr>
              <w:t xml:space="preserve"> námitek </w:t>
            </w:r>
            <w:r w:rsidR="003A35D0">
              <w:rPr>
                <w:rFonts w:ascii="Arial" w:hAnsi="Arial" w:cs="Arial"/>
                <w:sz w:val="22"/>
                <w:szCs w:val="22"/>
              </w:rPr>
              <w:t>schůzku</w:t>
            </w:r>
            <w:r w:rsidRPr="004C6A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50C4">
              <w:rPr>
                <w:rFonts w:ascii="Arial" w:hAnsi="Arial" w:cs="Arial"/>
                <w:sz w:val="22"/>
                <w:szCs w:val="22"/>
              </w:rPr>
              <w:t>zainteresovaných účastníků</w:t>
            </w:r>
            <w:r w:rsidRPr="004C6A74">
              <w:rPr>
                <w:rFonts w:ascii="Arial" w:hAnsi="Arial" w:cs="Arial"/>
                <w:sz w:val="22"/>
                <w:szCs w:val="22"/>
              </w:rPr>
              <w:t>.</w:t>
            </w:r>
            <w:r w:rsidR="00F4435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4359">
              <w:t xml:space="preserve"> </w:t>
            </w:r>
          </w:p>
          <w:p w14:paraId="36C98F5D" w14:textId="77777777" w:rsidR="00F44359" w:rsidRDefault="00F44359" w:rsidP="00F44359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2ED2C3" w14:textId="75111B46" w:rsidR="00C07CD9" w:rsidRDefault="00C07CD9" w:rsidP="00D159A5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CD9">
              <w:rPr>
                <w:rFonts w:ascii="Arial" w:hAnsi="Arial" w:cs="Arial"/>
                <w:sz w:val="22"/>
                <w:szCs w:val="22"/>
              </w:rPr>
              <w:t>Institut projednání výsledků s poskytovatelem je upraven v kapitole 4 Metodiky hodnocení výzkumných organizací a hodnocení programů účelové podpory výzkumu, vývoje, schválené usnesením vlády ČR ze dne 8. února 2</w:t>
            </w:r>
            <w:r w:rsidR="00D159A5">
              <w:rPr>
                <w:rFonts w:ascii="Arial" w:hAnsi="Arial" w:cs="Arial"/>
                <w:sz w:val="22"/>
                <w:szCs w:val="22"/>
              </w:rPr>
              <w:t>017, č. 107.</w:t>
            </w:r>
          </w:p>
          <w:p w14:paraId="49838E03" w14:textId="2203D819" w:rsidR="004C6A74" w:rsidRDefault="00F44359" w:rsidP="00C07CD9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Harmonogram</w:t>
            </w:r>
            <w:r w:rsidR="004C6A74">
              <w:rPr>
                <w:rFonts w:ascii="Arial" w:hAnsi="Arial" w:cs="Arial"/>
                <w:sz w:val="22"/>
                <w:szCs w:val="22"/>
              </w:rPr>
              <w:t xml:space="preserve"> přípravy a realizace letošního jednání tripartit</w:t>
            </w:r>
            <w:r w:rsidR="00AA5F3A">
              <w:t xml:space="preserve"> </w:t>
            </w:r>
            <w:r w:rsidR="00AA5F3A" w:rsidRPr="00AA5F3A">
              <w:rPr>
                <w:rFonts w:ascii="Arial" w:hAnsi="Arial" w:cs="Arial"/>
                <w:sz w:val="22"/>
                <w:szCs w:val="22"/>
              </w:rPr>
              <w:t>po třetím roce implementace M17+</w:t>
            </w:r>
            <w:r w:rsidR="004C6A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5F3A">
              <w:rPr>
                <w:rFonts w:ascii="Arial" w:hAnsi="Arial" w:cs="Arial"/>
                <w:sz w:val="22"/>
                <w:szCs w:val="22"/>
              </w:rPr>
              <w:t>bude dále upřes</w:t>
            </w:r>
            <w:r w:rsidR="00A125A5">
              <w:rPr>
                <w:rFonts w:ascii="Arial" w:hAnsi="Arial" w:cs="Arial"/>
                <w:sz w:val="22"/>
                <w:szCs w:val="22"/>
              </w:rPr>
              <w:t>ňován</w:t>
            </w:r>
            <w:r w:rsidR="00AA5F3A">
              <w:rPr>
                <w:rFonts w:ascii="Arial" w:hAnsi="Arial" w:cs="Arial"/>
                <w:sz w:val="22"/>
                <w:szCs w:val="22"/>
              </w:rPr>
              <w:t xml:space="preserve"> po potvrzení ze strany poskytovatelů</w:t>
            </w:r>
            <w:r w:rsidR="004C6A7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D084724" w14:textId="73C900AA" w:rsidR="00ED6CDC" w:rsidRDefault="00ED6CDC" w:rsidP="00ED6CDC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byla na </w:t>
            </w:r>
            <w:r w:rsidRPr="00597229">
              <w:rPr>
                <w:rFonts w:ascii="Arial" w:hAnsi="Arial" w:cs="Arial"/>
                <w:sz w:val="22"/>
                <w:szCs w:val="22"/>
              </w:rPr>
              <w:t xml:space="preserve">svém 359. zasedání dne 4. září 2020 seznámena s materiálem „Postup hodnocení výsledků dle Metodiky 2017+“, který představuje souhrnnou uživatelskou příručku pro výzkumné organizace, členy Odborných panelů, externí hodnotitele a poskytovatele institucionální podpory </w:t>
            </w:r>
            <w:proofErr w:type="spellStart"/>
            <w:r w:rsidRPr="0059722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597229">
              <w:rPr>
                <w:rFonts w:ascii="Arial" w:hAnsi="Arial" w:cs="Arial"/>
                <w:sz w:val="22"/>
                <w:szCs w:val="22"/>
              </w:rPr>
              <w:t xml:space="preserve">. Jedná se o aktualizaci Postupů hodnocení výsledků dle M17+ v implementačním období 2017 – 2019, které byly Radou schváleny na 325. zasedání dne 27. dubna 2017, 339. zasedání dne 21. září 2018 a 351. zasedání dne 29. listopadu 2019.  Dokument byl schválen KHV </w:t>
            </w:r>
            <w:r w:rsidRPr="00597229">
              <w:t xml:space="preserve"> </w:t>
            </w:r>
            <w:r w:rsidRPr="00597229">
              <w:rPr>
                <w:rFonts w:ascii="Arial" w:hAnsi="Arial" w:cs="Arial"/>
                <w:sz w:val="22"/>
                <w:szCs w:val="22"/>
              </w:rPr>
              <w:t xml:space="preserve">formou per </w:t>
            </w:r>
            <w:proofErr w:type="spellStart"/>
            <w:r w:rsidRPr="00597229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Pr="00597229">
              <w:rPr>
                <w:rFonts w:ascii="Arial" w:hAnsi="Arial" w:cs="Arial"/>
                <w:sz w:val="22"/>
                <w:szCs w:val="22"/>
              </w:rPr>
              <w:t xml:space="preserve"> dne 7. srpna 2020. Rada uložila zpravodaji pro hodnocení aplikovaného výzkumu doc</w:t>
            </w:r>
            <w:r w:rsidRPr="00B85955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B85955">
              <w:rPr>
                <w:rFonts w:ascii="Arial" w:hAnsi="Arial" w:cs="Arial"/>
                <w:sz w:val="22"/>
                <w:szCs w:val="22"/>
              </w:rPr>
              <w:t>Machanovi</w:t>
            </w:r>
            <w:proofErr w:type="spellEnd"/>
            <w:r w:rsidRPr="00B85955">
              <w:rPr>
                <w:rFonts w:ascii="Arial" w:hAnsi="Arial" w:cs="Arial"/>
                <w:sz w:val="22"/>
                <w:szCs w:val="22"/>
              </w:rPr>
              <w:t xml:space="preserve"> přepracování návrhu podle připomínek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85955">
              <w:rPr>
                <w:rFonts w:ascii="Arial" w:hAnsi="Arial" w:cs="Arial"/>
                <w:sz w:val="22"/>
                <w:szCs w:val="22"/>
              </w:rPr>
              <w:t xml:space="preserve">výsledků činnosti Pracovní skupiny </w:t>
            </w:r>
            <w:r>
              <w:rPr>
                <w:rFonts w:ascii="Arial" w:hAnsi="Arial" w:cs="Arial"/>
                <w:sz w:val="22"/>
                <w:szCs w:val="22"/>
              </w:rPr>
              <w:t>pro aplikovaný výzkum a jeho předložení do </w:t>
            </w:r>
            <w:r w:rsidRPr="00B85955">
              <w:rPr>
                <w:rFonts w:ascii="Arial" w:hAnsi="Arial" w:cs="Arial"/>
                <w:sz w:val="22"/>
                <w:szCs w:val="22"/>
              </w:rPr>
              <w:t>60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85955">
              <w:rPr>
                <w:rFonts w:ascii="Arial" w:hAnsi="Arial" w:cs="Arial"/>
                <w:sz w:val="22"/>
                <w:szCs w:val="22"/>
              </w:rPr>
              <w:t xml:space="preserve">dní po schválení </w:t>
            </w:r>
            <w:r w:rsidRPr="00C507F7">
              <w:rPr>
                <w:rFonts w:ascii="Arial" w:hAnsi="Arial" w:cs="Arial"/>
                <w:sz w:val="22"/>
                <w:szCs w:val="22"/>
              </w:rPr>
              <w:t>a ustavení pracovní skupiny.</w:t>
            </w:r>
          </w:p>
          <w:p w14:paraId="1546F94F" w14:textId="1BED1F73" w:rsidR="00ED6CDC" w:rsidRPr="00ED6CDC" w:rsidRDefault="00ED6CDC" w:rsidP="00ED6CDC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Informaci o činnosti a výstupech </w:t>
            </w:r>
            <w:r w:rsidRPr="00B85955">
              <w:rPr>
                <w:rFonts w:ascii="Arial" w:hAnsi="Arial" w:cs="Arial"/>
                <w:sz w:val="22"/>
                <w:szCs w:val="22"/>
              </w:rPr>
              <w:t xml:space="preserve">Pracovní skupiny </w:t>
            </w:r>
            <w:r>
              <w:rPr>
                <w:rFonts w:ascii="Arial" w:hAnsi="Arial" w:cs="Arial"/>
                <w:sz w:val="22"/>
                <w:szCs w:val="22"/>
              </w:rPr>
              <w:t>pro aplikovaný výzkum předloží doc. Machan.</w:t>
            </w:r>
          </w:p>
          <w:p w14:paraId="7AFEAAC3" w14:textId="40D67C5F" w:rsidR="009903CF" w:rsidRPr="00B85955" w:rsidRDefault="009903CF" w:rsidP="00EC6467">
            <w:pPr>
              <w:pStyle w:val="Bezmezer"/>
              <w:jc w:val="both"/>
              <w:rPr>
                <w:rFonts w:ascii="Arial" w:hAnsi="Arial" w:cs="Arial"/>
              </w:rPr>
            </w:pPr>
          </w:p>
        </w:tc>
      </w:tr>
      <w:tr w:rsidR="009903CF" w:rsidRPr="00DE2BC0" w14:paraId="11715621" w14:textId="77777777" w:rsidTr="00CD041C">
        <w:trPr>
          <w:trHeight w:val="963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9651AE" w14:textId="77777777" w:rsidR="009903CF" w:rsidRPr="00745D13" w:rsidRDefault="009903CF" w:rsidP="009903CF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45D1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09E82A96" w14:textId="0ADF6800" w:rsidR="00F44359" w:rsidRPr="00A125A5" w:rsidRDefault="00B752A6" w:rsidP="00A125A5">
            <w:pPr>
              <w:pStyle w:val="Odstavecseseznamem"/>
              <w:numPr>
                <w:ilvl w:val="0"/>
                <w:numId w:val="37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25A5">
              <w:rPr>
                <w:rFonts w:ascii="Arial" w:hAnsi="Arial" w:cs="Arial"/>
                <w:i/>
                <w:sz w:val="22"/>
                <w:szCs w:val="22"/>
              </w:rPr>
              <w:t xml:space="preserve">362 A3 b H19 Informace o </w:t>
            </w:r>
            <w:proofErr w:type="spellStart"/>
            <w:r w:rsidRPr="00A125A5">
              <w:rPr>
                <w:rFonts w:ascii="Arial" w:hAnsi="Arial" w:cs="Arial"/>
                <w:i/>
                <w:sz w:val="22"/>
                <w:szCs w:val="22"/>
              </w:rPr>
              <w:t>namitkach</w:t>
            </w:r>
            <w:proofErr w:type="spellEnd"/>
            <w:r w:rsidRPr="00A125A5">
              <w:rPr>
                <w:rFonts w:ascii="Arial" w:hAnsi="Arial" w:cs="Arial"/>
                <w:i/>
                <w:sz w:val="22"/>
                <w:szCs w:val="22"/>
              </w:rPr>
              <w:t xml:space="preserve"> k hodnoceni v M1.docx</w:t>
            </w:r>
            <w:r w:rsidR="00F44359" w:rsidRPr="00A125A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3708CB34" w14:textId="4868030B" w:rsidR="00D327A6" w:rsidRDefault="004F4789" w:rsidP="00F44359">
            <w:pPr>
              <w:pStyle w:val="Odstavecseseznamem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4C6A74">
              <w:rPr>
                <w:rFonts w:ascii="Arial" w:hAnsi="Arial" w:cs="Arial"/>
                <w:sz w:val="22"/>
                <w:szCs w:val="22"/>
              </w:rPr>
              <w:t xml:space="preserve">Podklady k bodu pro potřebu členů Rady </w:t>
            </w:r>
            <w:r w:rsidR="00060243" w:rsidRPr="004C6A74">
              <w:rPr>
                <w:rFonts w:ascii="Arial" w:hAnsi="Arial" w:cs="Arial"/>
                <w:sz w:val="22"/>
                <w:szCs w:val="22"/>
              </w:rPr>
              <w:t xml:space="preserve">a PS </w:t>
            </w:r>
            <w:r w:rsidR="00B752A6">
              <w:rPr>
                <w:rFonts w:ascii="Arial" w:hAnsi="Arial" w:cs="Arial"/>
                <w:sz w:val="22"/>
                <w:szCs w:val="22"/>
              </w:rPr>
              <w:t xml:space="preserve">KHV </w:t>
            </w:r>
            <w:r w:rsidR="00060243" w:rsidRPr="004C6A74">
              <w:rPr>
                <w:rFonts w:ascii="Arial" w:hAnsi="Arial" w:cs="Arial"/>
                <w:sz w:val="22"/>
                <w:szCs w:val="22"/>
              </w:rPr>
              <w:t xml:space="preserve">pro aplikovaný výzkum </w:t>
            </w:r>
            <w:r w:rsidRPr="004C6A74">
              <w:rPr>
                <w:rFonts w:ascii="Arial" w:hAnsi="Arial" w:cs="Arial"/>
                <w:sz w:val="22"/>
                <w:szCs w:val="22"/>
              </w:rPr>
              <w:t xml:space="preserve">naleznete </w:t>
            </w:r>
            <w:r w:rsidR="00060243" w:rsidRPr="004C6A74">
              <w:rPr>
                <w:rFonts w:ascii="Arial" w:hAnsi="Arial" w:cs="Arial"/>
                <w:sz w:val="22"/>
                <w:szCs w:val="22"/>
              </w:rPr>
              <w:t>zde:</w:t>
            </w:r>
            <w:r w:rsidR="0085502E">
              <w:t xml:space="preserve"> </w:t>
            </w:r>
            <w:r w:rsidR="00CB6924">
              <w:t xml:space="preserve"> </w:t>
            </w:r>
            <w:r w:rsidR="00533015">
              <w:br/>
            </w:r>
            <w:hyperlink r:id="rId9" w:history="1">
              <w:r w:rsidR="00DD5E2C" w:rsidRPr="008B4382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https://cloud.vlada.cz/index.php/s/AzOJVMthKWDVT73/download</w:t>
              </w:r>
            </w:hyperlink>
            <w:r w:rsidR="00DD5E2C" w:rsidRPr="00DD5E2C">
              <w:rPr>
                <w:rStyle w:val="Hypertextovodkaz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060243" w:rsidRPr="004C6A74">
              <w:rPr>
                <w:rFonts w:ascii="Arial" w:hAnsi="Arial" w:cs="Arial"/>
                <w:sz w:val="22"/>
                <w:szCs w:val="22"/>
              </w:rPr>
              <w:t>// heslo: M17+</w:t>
            </w:r>
          </w:p>
          <w:p w14:paraId="6AC876E3" w14:textId="0C63F085" w:rsidR="00F44359" w:rsidRPr="00436675" w:rsidRDefault="00F44359" w:rsidP="00436675">
            <w:pPr>
              <w:pStyle w:val="Odstavecseseznamem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436675">
              <w:rPr>
                <w:rFonts w:ascii="Arial" w:hAnsi="Arial" w:cs="Arial"/>
                <w:i/>
                <w:sz w:val="22"/>
                <w:szCs w:val="22"/>
              </w:rPr>
              <w:t>362 A3  Harmonogram tripartitních jednání po třetím roce implementace M17+</w:t>
            </w:r>
          </w:p>
          <w:p w14:paraId="5ADAA824" w14:textId="08ED6697" w:rsidR="00436675" w:rsidRPr="00436675" w:rsidRDefault="002D77E6" w:rsidP="00436675">
            <w:pPr>
              <w:pStyle w:val="Odstavecseseznamem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Prezentace doc.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Machana</w:t>
            </w:r>
            <w:proofErr w:type="spellEnd"/>
            <w:r w:rsidR="00A93A7B">
              <w:rPr>
                <w:rFonts w:ascii="Arial" w:hAnsi="Arial" w:cs="Arial"/>
                <w:i/>
                <w:sz w:val="22"/>
                <w:szCs w:val="22"/>
              </w:rPr>
              <w:t xml:space="preserve"> k </w:t>
            </w:r>
            <w:proofErr w:type="spellStart"/>
            <w:r w:rsidR="00A93A7B">
              <w:rPr>
                <w:rFonts w:ascii="Arial" w:hAnsi="Arial" w:cs="Arial"/>
                <w:i/>
                <w:sz w:val="22"/>
                <w:szCs w:val="22"/>
              </w:rPr>
              <w:t>podbodu</w:t>
            </w:r>
            <w:proofErr w:type="spellEnd"/>
            <w:r w:rsidR="00A93A7B">
              <w:rPr>
                <w:rFonts w:ascii="Arial" w:hAnsi="Arial" w:cs="Arial"/>
                <w:i/>
                <w:sz w:val="22"/>
                <w:szCs w:val="22"/>
              </w:rPr>
              <w:t xml:space="preserve"> d)</w:t>
            </w:r>
          </w:p>
        </w:tc>
      </w:tr>
    </w:tbl>
    <w:p w14:paraId="38AA0679" w14:textId="77777777" w:rsidR="00F86D54" w:rsidRDefault="00010080" w:rsidP="002008E5">
      <w:bookmarkStart w:id="0" w:name="_GoBack"/>
      <w:bookmarkEnd w:id="0"/>
    </w:p>
    <w:sectPr w:rsidR="00F86D54" w:rsidSect="00791870">
      <w:head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28BB7" w14:textId="77777777" w:rsidR="00EA5CF8" w:rsidRDefault="00EA5CF8" w:rsidP="008F77F6">
      <w:r>
        <w:separator/>
      </w:r>
    </w:p>
  </w:endnote>
  <w:endnote w:type="continuationSeparator" w:id="0">
    <w:p w14:paraId="686D480C" w14:textId="77777777" w:rsidR="00EA5CF8" w:rsidRDefault="00EA5CF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D91FD" w14:textId="77777777" w:rsidR="00EA5CF8" w:rsidRDefault="00EA5CF8" w:rsidP="008F77F6">
      <w:r>
        <w:separator/>
      </w:r>
    </w:p>
  </w:footnote>
  <w:footnote w:type="continuationSeparator" w:id="0">
    <w:p w14:paraId="0F3F9F89" w14:textId="77777777" w:rsidR="00EA5CF8" w:rsidRDefault="00EA5CF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19968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124704F" wp14:editId="4DF5771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hybridMultilevel"/>
    <w:tmpl w:val="F998C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B2578"/>
    <w:multiLevelType w:val="hybridMultilevel"/>
    <w:tmpl w:val="BB82E1C2"/>
    <w:lvl w:ilvl="0" w:tplc="4AA02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E754B"/>
    <w:multiLevelType w:val="hybridMultilevel"/>
    <w:tmpl w:val="0F3CEA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37D72"/>
    <w:multiLevelType w:val="hybridMultilevel"/>
    <w:tmpl w:val="B8FAFE5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EA766C"/>
    <w:multiLevelType w:val="hybridMultilevel"/>
    <w:tmpl w:val="CD5026AE"/>
    <w:lvl w:ilvl="0" w:tplc="8F38D7EC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80FE0"/>
    <w:multiLevelType w:val="hybridMultilevel"/>
    <w:tmpl w:val="204EB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33954"/>
    <w:multiLevelType w:val="hybridMultilevel"/>
    <w:tmpl w:val="42ECAC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3723FD"/>
    <w:multiLevelType w:val="hybridMultilevel"/>
    <w:tmpl w:val="BBB6B6A8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977C9"/>
    <w:multiLevelType w:val="hybridMultilevel"/>
    <w:tmpl w:val="7B76F1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B4F51"/>
    <w:multiLevelType w:val="hybridMultilevel"/>
    <w:tmpl w:val="97A6244A"/>
    <w:lvl w:ilvl="0" w:tplc="D18C95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D72DB8"/>
    <w:multiLevelType w:val="hybridMultilevel"/>
    <w:tmpl w:val="404AA0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4749E"/>
    <w:multiLevelType w:val="hybridMultilevel"/>
    <w:tmpl w:val="2794B6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21D0A"/>
    <w:multiLevelType w:val="multilevel"/>
    <w:tmpl w:val="8924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A56455"/>
    <w:multiLevelType w:val="hybridMultilevel"/>
    <w:tmpl w:val="8DF6B15A"/>
    <w:lvl w:ilvl="0" w:tplc="FCCA615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08F421A"/>
    <w:multiLevelType w:val="hybridMultilevel"/>
    <w:tmpl w:val="69208C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C33C87"/>
    <w:multiLevelType w:val="hybridMultilevel"/>
    <w:tmpl w:val="E30CFDDC"/>
    <w:lvl w:ilvl="0" w:tplc="F6CEFEA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160A15"/>
    <w:multiLevelType w:val="hybridMultilevel"/>
    <w:tmpl w:val="33466004"/>
    <w:lvl w:ilvl="0" w:tplc="4FB430D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5523CD"/>
    <w:multiLevelType w:val="multilevel"/>
    <w:tmpl w:val="5C7C6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C04930"/>
    <w:multiLevelType w:val="hybridMultilevel"/>
    <w:tmpl w:val="C212C5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17F31"/>
    <w:multiLevelType w:val="hybridMultilevel"/>
    <w:tmpl w:val="D7E27D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C6B63"/>
    <w:multiLevelType w:val="hybridMultilevel"/>
    <w:tmpl w:val="1A7ED4DA"/>
    <w:lvl w:ilvl="0" w:tplc="18FE3B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5812335"/>
    <w:multiLevelType w:val="hybridMultilevel"/>
    <w:tmpl w:val="691274A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0"/>
  </w:num>
  <w:num w:numId="4">
    <w:abstractNumId w:val="2"/>
  </w:num>
  <w:num w:numId="5">
    <w:abstractNumId w:val="18"/>
  </w:num>
  <w:num w:numId="6">
    <w:abstractNumId w:val="4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32"/>
  </w:num>
  <w:num w:numId="10">
    <w:abstractNumId w:val="21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5"/>
  </w:num>
  <w:num w:numId="14">
    <w:abstractNumId w:val="11"/>
  </w:num>
  <w:num w:numId="15">
    <w:abstractNumId w:val="13"/>
  </w:num>
  <w:num w:numId="16">
    <w:abstractNumId w:val="28"/>
  </w:num>
  <w:num w:numId="17">
    <w:abstractNumId w:val="33"/>
  </w:num>
  <w:num w:numId="18">
    <w:abstractNumId w:val="17"/>
  </w:num>
  <w:num w:numId="19">
    <w:abstractNumId w:val="26"/>
  </w:num>
  <w:num w:numId="20">
    <w:abstractNumId w:val="7"/>
  </w:num>
  <w:num w:numId="21">
    <w:abstractNumId w:val="23"/>
  </w:num>
  <w:num w:numId="22">
    <w:abstractNumId w:val="25"/>
  </w:num>
  <w:num w:numId="23">
    <w:abstractNumId w:val="5"/>
  </w:num>
  <w:num w:numId="24">
    <w:abstractNumId w:val="0"/>
  </w:num>
  <w:num w:numId="25">
    <w:abstractNumId w:val="10"/>
  </w:num>
  <w:num w:numId="26">
    <w:abstractNumId w:val="3"/>
  </w:num>
  <w:num w:numId="27">
    <w:abstractNumId w:val="22"/>
  </w:num>
  <w:num w:numId="28">
    <w:abstractNumId w:val="9"/>
  </w:num>
  <w:num w:numId="29">
    <w:abstractNumId w:val="29"/>
  </w:num>
  <w:num w:numId="30">
    <w:abstractNumId w:val="15"/>
  </w:num>
  <w:num w:numId="31">
    <w:abstractNumId w:val="27"/>
  </w:num>
  <w:num w:numId="32">
    <w:abstractNumId w:val="8"/>
  </w:num>
  <w:num w:numId="33">
    <w:abstractNumId w:val="16"/>
  </w:num>
  <w:num w:numId="34">
    <w:abstractNumId w:val="12"/>
  </w:num>
  <w:num w:numId="35">
    <w:abstractNumId w:val="30"/>
  </w:num>
  <w:num w:numId="36">
    <w:abstractNumId w:val="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95"/>
    <w:rsid w:val="00002D1F"/>
    <w:rsid w:val="00005D1D"/>
    <w:rsid w:val="00006C48"/>
    <w:rsid w:val="000078A8"/>
    <w:rsid w:val="00010080"/>
    <w:rsid w:val="00022503"/>
    <w:rsid w:val="00041571"/>
    <w:rsid w:val="0005036E"/>
    <w:rsid w:val="00053AA7"/>
    <w:rsid w:val="00055CA0"/>
    <w:rsid w:val="00060243"/>
    <w:rsid w:val="00061DD0"/>
    <w:rsid w:val="00082E5C"/>
    <w:rsid w:val="0008470D"/>
    <w:rsid w:val="00090C41"/>
    <w:rsid w:val="00092377"/>
    <w:rsid w:val="00093866"/>
    <w:rsid w:val="00095B2C"/>
    <w:rsid w:val="00095B42"/>
    <w:rsid w:val="000B1FDF"/>
    <w:rsid w:val="000B2133"/>
    <w:rsid w:val="000B4A5D"/>
    <w:rsid w:val="000B4EAA"/>
    <w:rsid w:val="000B5C1D"/>
    <w:rsid w:val="000B7837"/>
    <w:rsid w:val="000C2CA4"/>
    <w:rsid w:val="000C44CF"/>
    <w:rsid w:val="000C4A33"/>
    <w:rsid w:val="000D6C28"/>
    <w:rsid w:val="000D7CEC"/>
    <w:rsid w:val="000E70A4"/>
    <w:rsid w:val="00103EDD"/>
    <w:rsid w:val="001047B5"/>
    <w:rsid w:val="00107501"/>
    <w:rsid w:val="0011313E"/>
    <w:rsid w:val="00115DD5"/>
    <w:rsid w:val="001242D7"/>
    <w:rsid w:val="00170EAC"/>
    <w:rsid w:val="00172CEE"/>
    <w:rsid w:val="0018140A"/>
    <w:rsid w:val="00185FAA"/>
    <w:rsid w:val="001A0867"/>
    <w:rsid w:val="001A5218"/>
    <w:rsid w:val="001B7A08"/>
    <w:rsid w:val="001C2BC6"/>
    <w:rsid w:val="001C6720"/>
    <w:rsid w:val="001D0B14"/>
    <w:rsid w:val="001D0DEE"/>
    <w:rsid w:val="001E0D44"/>
    <w:rsid w:val="001F1341"/>
    <w:rsid w:val="002008E5"/>
    <w:rsid w:val="00210E49"/>
    <w:rsid w:val="0021296B"/>
    <w:rsid w:val="002132D0"/>
    <w:rsid w:val="002134D1"/>
    <w:rsid w:val="00213C92"/>
    <w:rsid w:val="00225C24"/>
    <w:rsid w:val="00226DCB"/>
    <w:rsid w:val="00237006"/>
    <w:rsid w:val="00240604"/>
    <w:rsid w:val="00240704"/>
    <w:rsid w:val="002435AB"/>
    <w:rsid w:val="002461CB"/>
    <w:rsid w:val="00263DE4"/>
    <w:rsid w:val="002808CA"/>
    <w:rsid w:val="002823CC"/>
    <w:rsid w:val="00282977"/>
    <w:rsid w:val="002A18DA"/>
    <w:rsid w:val="002B2C52"/>
    <w:rsid w:val="002C2752"/>
    <w:rsid w:val="002C4ADB"/>
    <w:rsid w:val="002C4CAF"/>
    <w:rsid w:val="002D0A74"/>
    <w:rsid w:val="002D42BB"/>
    <w:rsid w:val="002D77E6"/>
    <w:rsid w:val="002E717E"/>
    <w:rsid w:val="002F01DD"/>
    <w:rsid w:val="002F053E"/>
    <w:rsid w:val="002F128C"/>
    <w:rsid w:val="002F3091"/>
    <w:rsid w:val="00303F2D"/>
    <w:rsid w:val="003049BF"/>
    <w:rsid w:val="0031020D"/>
    <w:rsid w:val="003151F1"/>
    <w:rsid w:val="003157C3"/>
    <w:rsid w:val="003174E3"/>
    <w:rsid w:val="00331C40"/>
    <w:rsid w:val="003332E4"/>
    <w:rsid w:val="003372A6"/>
    <w:rsid w:val="00344F86"/>
    <w:rsid w:val="00360293"/>
    <w:rsid w:val="003871F2"/>
    <w:rsid w:val="00387B05"/>
    <w:rsid w:val="003951C9"/>
    <w:rsid w:val="003A2DFE"/>
    <w:rsid w:val="003A35D0"/>
    <w:rsid w:val="003A4113"/>
    <w:rsid w:val="003A451D"/>
    <w:rsid w:val="003A628E"/>
    <w:rsid w:val="003D1BB6"/>
    <w:rsid w:val="003D2335"/>
    <w:rsid w:val="003D4422"/>
    <w:rsid w:val="003F0241"/>
    <w:rsid w:val="003F360B"/>
    <w:rsid w:val="003F3735"/>
    <w:rsid w:val="003F6EE3"/>
    <w:rsid w:val="00415C6A"/>
    <w:rsid w:val="004234E9"/>
    <w:rsid w:val="00423529"/>
    <w:rsid w:val="00436675"/>
    <w:rsid w:val="0043682A"/>
    <w:rsid w:val="0045154F"/>
    <w:rsid w:val="00456A46"/>
    <w:rsid w:val="00467FDF"/>
    <w:rsid w:val="00471370"/>
    <w:rsid w:val="0047413A"/>
    <w:rsid w:val="0048454C"/>
    <w:rsid w:val="00485637"/>
    <w:rsid w:val="00494A1F"/>
    <w:rsid w:val="00495195"/>
    <w:rsid w:val="0049656E"/>
    <w:rsid w:val="00496A04"/>
    <w:rsid w:val="004A27D4"/>
    <w:rsid w:val="004A2E46"/>
    <w:rsid w:val="004B1CBA"/>
    <w:rsid w:val="004C4770"/>
    <w:rsid w:val="004C6A74"/>
    <w:rsid w:val="004D2693"/>
    <w:rsid w:val="004D46E2"/>
    <w:rsid w:val="004D6CA2"/>
    <w:rsid w:val="004E2627"/>
    <w:rsid w:val="004F4789"/>
    <w:rsid w:val="004F5A12"/>
    <w:rsid w:val="00500C4D"/>
    <w:rsid w:val="00507000"/>
    <w:rsid w:val="00510038"/>
    <w:rsid w:val="0051782E"/>
    <w:rsid w:val="0052289A"/>
    <w:rsid w:val="00524798"/>
    <w:rsid w:val="005267E0"/>
    <w:rsid w:val="00533015"/>
    <w:rsid w:val="00552EB5"/>
    <w:rsid w:val="00557061"/>
    <w:rsid w:val="005622A3"/>
    <w:rsid w:val="0056760A"/>
    <w:rsid w:val="0056772A"/>
    <w:rsid w:val="005713C6"/>
    <w:rsid w:val="00581F9B"/>
    <w:rsid w:val="00582CDF"/>
    <w:rsid w:val="005856DD"/>
    <w:rsid w:val="00597229"/>
    <w:rsid w:val="005A2C41"/>
    <w:rsid w:val="005B4BBB"/>
    <w:rsid w:val="005B68AA"/>
    <w:rsid w:val="005C3987"/>
    <w:rsid w:val="005C3DCD"/>
    <w:rsid w:val="005C6FF7"/>
    <w:rsid w:val="005E1686"/>
    <w:rsid w:val="005E502F"/>
    <w:rsid w:val="005F1E63"/>
    <w:rsid w:val="005F6696"/>
    <w:rsid w:val="0061424B"/>
    <w:rsid w:val="00615C1C"/>
    <w:rsid w:val="00616837"/>
    <w:rsid w:val="006179D6"/>
    <w:rsid w:val="00626A50"/>
    <w:rsid w:val="0064051C"/>
    <w:rsid w:val="00640D2A"/>
    <w:rsid w:val="00642EE7"/>
    <w:rsid w:val="006434FF"/>
    <w:rsid w:val="00643763"/>
    <w:rsid w:val="006461D6"/>
    <w:rsid w:val="00646A2C"/>
    <w:rsid w:val="00646D8B"/>
    <w:rsid w:val="00647FF1"/>
    <w:rsid w:val="0065081B"/>
    <w:rsid w:val="0065552C"/>
    <w:rsid w:val="0065635F"/>
    <w:rsid w:val="00660AAF"/>
    <w:rsid w:val="00663B11"/>
    <w:rsid w:val="00674B38"/>
    <w:rsid w:val="0067628A"/>
    <w:rsid w:val="00681D93"/>
    <w:rsid w:val="00681FE3"/>
    <w:rsid w:val="00684A14"/>
    <w:rsid w:val="00687798"/>
    <w:rsid w:val="00690AD5"/>
    <w:rsid w:val="0069345D"/>
    <w:rsid w:val="00694639"/>
    <w:rsid w:val="006A145E"/>
    <w:rsid w:val="006A3C2C"/>
    <w:rsid w:val="006A5122"/>
    <w:rsid w:val="006B5E9A"/>
    <w:rsid w:val="006C2712"/>
    <w:rsid w:val="006C37D8"/>
    <w:rsid w:val="006C66AB"/>
    <w:rsid w:val="006C6718"/>
    <w:rsid w:val="006D1A71"/>
    <w:rsid w:val="006D24C1"/>
    <w:rsid w:val="006F03DC"/>
    <w:rsid w:val="006F65AD"/>
    <w:rsid w:val="006F75B6"/>
    <w:rsid w:val="007052E0"/>
    <w:rsid w:val="0070779D"/>
    <w:rsid w:val="00713180"/>
    <w:rsid w:val="00714A9A"/>
    <w:rsid w:val="007160D9"/>
    <w:rsid w:val="007322E0"/>
    <w:rsid w:val="007371DC"/>
    <w:rsid w:val="007467DD"/>
    <w:rsid w:val="00747E50"/>
    <w:rsid w:val="007631B8"/>
    <w:rsid w:val="007712F7"/>
    <w:rsid w:val="00775A0B"/>
    <w:rsid w:val="00791776"/>
    <w:rsid w:val="00791870"/>
    <w:rsid w:val="00791C0D"/>
    <w:rsid w:val="00792F8D"/>
    <w:rsid w:val="00797957"/>
    <w:rsid w:val="007A2D5B"/>
    <w:rsid w:val="007A5B18"/>
    <w:rsid w:val="007A6B3F"/>
    <w:rsid w:val="007B138D"/>
    <w:rsid w:val="007C4357"/>
    <w:rsid w:val="007D214D"/>
    <w:rsid w:val="007E179D"/>
    <w:rsid w:val="007E1BFC"/>
    <w:rsid w:val="007E6504"/>
    <w:rsid w:val="007E657F"/>
    <w:rsid w:val="007F5F13"/>
    <w:rsid w:val="0080446A"/>
    <w:rsid w:val="00810AA0"/>
    <w:rsid w:val="00811B18"/>
    <w:rsid w:val="0081663E"/>
    <w:rsid w:val="0082042A"/>
    <w:rsid w:val="008209FC"/>
    <w:rsid w:val="008327D2"/>
    <w:rsid w:val="008337D2"/>
    <w:rsid w:val="00844E9C"/>
    <w:rsid w:val="0085502E"/>
    <w:rsid w:val="008550BC"/>
    <w:rsid w:val="00855247"/>
    <w:rsid w:val="00856466"/>
    <w:rsid w:val="00857E8C"/>
    <w:rsid w:val="00862225"/>
    <w:rsid w:val="00862796"/>
    <w:rsid w:val="0086334B"/>
    <w:rsid w:val="00867A69"/>
    <w:rsid w:val="00874E90"/>
    <w:rsid w:val="00875ACF"/>
    <w:rsid w:val="00881D27"/>
    <w:rsid w:val="00886430"/>
    <w:rsid w:val="008A7F84"/>
    <w:rsid w:val="008B1E08"/>
    <w:rsid w:val="008B3EE7"/>
    <w:rsid w:val="008E2704"/>
    <w:rsid w:val="008E55F2"/>
    <w:rsid w:val="008E62AA"/>
    <w:rsid w:val="008F0FA9"/>
    <w:rsid w:val="008F3085"/>
    <w:rsid w:val="008F35D6"/>
    <w:rsid w:val="008F63D5"/>
    <w:rsid w:val="008F6428"/>
    <w:rsid w:val="008F6B0C"/>
    <w:rsid w:val="008F77F6"/>
    <w:rsid w:val="00900B68"/>
    <w:rsid w:val="00906F80"/>
    <w:rsid w:val="00916A3F"/>
    <w:rsid w:val="00925EA0"/>
    <w:rsid w:val="0092757A"/>
    <w:rsid w:val="00931181"/>
    <w:rsid w:val="009353CE"/>
    <w:rsid w:val="00946503"/>
    <w:rsid w:val="009466FD"/>
    <w:rsid w:val="00955C3D"/>
    <w:rsid w:val="00955F03"/>
    <w:rsid w:val="00962572"/>
    <w:rsid w:val="009704D2"/>
    <w:rsid w:val="00983261"/>
    <w:rsid w:val="009870E8"/>
    <w:rsid w:val="009903CF"/>
    <w:rsid w:val="00994FEF"/>
    <w:rsid w:val="00996672"/>
    <w:rsid w:val="009A2075"/>
    <w:rsid w:val="009A2F22"/>
    <w:rsid w:val="009A4D96"/>
    <w:rsid w:val="009D79B9"/>
    <w:rsid w:val="009F2496"/>
    <w:rsid w:val="009F747F"/>
    <w:rsid w:val="00A125A5"/>
    <w:rsid w:val="00A22DB4"/>
    <w:rsid w:val="00A267B9"/>
    <w:rsid w:val="00A26BC9"/>
    <w:rsid w:val="00A2713B"/>
    <w:rsid w:val="00A30EDB"/>
    <w:rsid w:val="00A371C3"/>
    <w:rsid w:val="00A43312"/>
    <w:rsid w:val="00A51417"/>
    <w:rsid w:val="00A5770A"/>
    <w:rsid w:val="00A71B3C"/>
    <w:rsid w:val="00A73A7F"/>
    <w:rsid w:val="00A77B79"/>
    <w:rsid w:val="00A80751"/>
    <w:rsid w:val="00A8409B"/>
    <w:rsid w:val="00A840F7"/>
    <w:rsid w:val="00A92076"/>
    <w:rsid w:val="00A93A7B"/>
    <w:rsid w:val="00A95484"/>
    <w:rsid w:val="00AA0704"/>
    <w:rsid w:val="00AA07A5"/>
    <w:rsid w:val="00AA1B8F"/>
    <w:rsid w:val="00AA1EB2"/>
    <w:rsid w:val="00AA4B62"/>
    <w:rsid w:val="00AA51BE"/>
    <w:rsid w:val="00AA5F3A"/>
    <w:rsid w:val="00AA7217"/>
    <w:rsid w:val="00AB3D4F"/>
    <w:rsid w:val="00AC58CD"/>
    <w:rsid w:val="00AC6DFA"/>
    <w:rsid w:val="00AD2FF8"/>
    <w:rsid w:val="00AE5F1F"/>
    <w:rsid w:val="00AE7D40"/>
    <w:rsid w:val="00AE7EEA"/>
    <w:rsid w:val="00AF65B0"/>
    <w:rsid w:val="00B037B0"/>
    <w:rsid w:val="00B05AA7"/>
    <w:rsid w:val="00B15086"/>
    <w:rsid w:val="00B21A8B"/>
    <w:rsid w:val="00B25AA3"/>
    <w:rsid w:val="00B4673E"/>
    <w:rsid w:val="00B476E7"/>
    <w:rsid w:val="00B6068A"/>
    <w:rsid w:val="00B6161C"/>
    <w:rsid w:val="00B616A4"/>
    <w:rsid w:val="00B6190A"/>
    <w:rsid w:val="00B645C8"/>
    <w:rsid w:val="00B66F7E"/>
    <w:rsid w:val="00B70199"/>
    <w:rsid w:val="00B70770"/>
    <w:rsid w:val="00B752A6"/>
    <w:rsid w:val="00B82476"/>
    <w:rsid w:val="00B85955"/>
    <w:rsid w:val="00B91E71"/>
    <w:rsid w:val="00BA148D"/>
    <w:rsid w:val="00BA42D3"/>
    <w:rsid w:val="00BB0768"/>
    <w:rsid w:val="00BB3095"/>
    <w:rsid w:val="00BD1BE8"/>
    <w:rsid w:val="00BD244B"/>
    <w:rsid w:val="00BD25A6"/>
    <w:rsid w:val="00BD3FED"/>
    <w:rsid w:val="00BE1BBC"/>
    <w:rsid w:val="00BE2063"/>
    <w:rsid w:val="00BE6843"/>
    <w:rsid w:val="00BF01BD"/>
    <w:rsid w:val="00C04B3D"/>
    <w:rsid w:val="00C07CD9"/>
    <w:rsid w:val="00C07E1C"/>
    <w:rsid w:val="00C11345"/>
    <w:rsid w:val="00C11C1E"/>
    <w:rsid w:val="00C12F62"/>
    <w:rsid w:val="00C13D98"/>
    <w:rsid w:val="00C1660D"/>
    <w:rsid w:val="00C20639"/>
    <w:rsid w:val="00C372B4"/>
    <w:rsid w:val="00C44067"/>
    <w:rsid w:val="00C47DB3"/>
    <w:rsid w:val="00C507F7"/>
    <w:rsid w:val="00C54215"/>
    <w:rsid w:val="00C54C28"/>
    <w:rsid w:val="00C54E87"/>
    <w:rsid w:val="00C54F09"/>
    <w:rsid w:val="00C61029"/>
    <w:rsid w:val="00C631A6"/>
    <w:rsid w:val="00C826A6"/>
    <w:rsid w:val="00C83184"/>
    <w:rsid w:val="00C84250"/>
    <w:rsid w:val="00C861BE"/>
    <w:rsid w:val="00C91869"/>
    <w:rsid w:val="00C9664D"/>
    <w:rsid w:val="00CA3063"/>
    <w:rsid w:val="00CA7981"/>
    <w:rsid w:val="00CB44C1"/>
    <w:rsid w:val="00CB6924"/>
    <w:rsid w:val="00CB796E"/>
    <w:rsid w:val="00CB7972"/>
    <w:rsid w:val="00CC0BD5"/>
    <w:rsid w:val="00CD041C"/>
    <w:rsid w:val="00CD415C"/>
    <w:rsid w:val="00CE3E4A"/>
    <w:rsid w:val="00CF1418"/>
    <w:rsid w:val="00CF3868"/>
    <w:rsid w:val="00D02F2F"/>
    <w:rsid w:val="00D0441F"/>
    <w:rsid w:val="00D159A5"/>
    <w:rsid w:val="00D1757A"/>
    <w:rsid w:val="00D203CA"/>
    <w:rsid w:val="00D23FC0"/>
    <w:rsid w:val="00D27C56"/>
    <w:rsid w:val="00D327A6"/>
    <w:rsid w:val="00D328B5"/>
    <w:rsid w:val="00D45907"/>
    <w:rsid w:val="00D54679"/>
    <w:rsid w:val="00D63EB5"/>
    <w:rsid w:val="00D75F3E"/>
    <w:rsid w:val="00D76D95"/>
    <w:rsid w:val="00D81B3A"/>
    <w:rsid w:val="00D867D3"/>
    <w:rsid w:val="00D90220"/>
    <w:rsid w:val="00D9178E"/>
    <w:rsid w:val="00DA28D1"/>
    <w:rsid w:val="00DA3A7A"/>
    <w:rsid w:val="00DA7E5E"/>
    <w:rsid w:val="00DC1FF7"/>
    <w:rsid w:val="00DC5FE9"/>
    <w:rsid w:val="00DC7F36"/>
    <w:rsid w:val="00DD14DA"/>
    <w:rsid w:val="00DD3778"/>
    <w:rsid w:val="00DD5E2C"/>
    <w:rsid w:val="00DE132A"/>
    <w:rsid w:val="00DE1542"/>
    <w:rsid w:val="00DE1E52"/>
    <w:rsid w:val="00DE71FC"/>
    <w:rsid w:val="00DE76EC"/>
    <w:rsid w:val="00DF2F29"/>
    <w:rsid w:val="00E05B8E"/>
    <w:rsid w:val="00E06BA5"/>
    <w:rsid w:val="00E16CC6"/>
    <w:rsid w:val="00E16EAD"/>
    <w:rsid w:val="00E17738"/>
    <w:rsid w:val="00E24FF3"/>
    <w:rsid w:val="00E37D07"/>
    <w:rsid w:val="00E414BE"/>
    <w:rsid w:val="00E52D50"/>
    <w:rsid w:val="00E5420A"/>
    <w:rsid w:val="00E56EFB"/>
    <w:rsid w:val="00E57B53"/>
    <w:rsid w:val="00E63B20"/>
    <w:rsid w:val="00E65F6B"/>
    <w:rsid w:val="00E7093B"/>
    <w:rsid w:val="00E717A9"/>
    <w:rsid w:val="00E71A64"/>
    <w:rsid w:val="00E71C81"/>
    <w:rsid w:val="00E969BF"/>
    <w:rsid w:val="00EA5CF8"/>
    <w:rsid w:val="00EA61EF"/>
    <w:rsid w:val="00EA65C7"/>
    <w:rsid w:val="00EC1DD0"/>
    <w:rsid w:val="00EC2AD4"/>
    <w:rsid w:val="00EC6467"/>
    <w:rsid w:val="00EC699B"/>
    <w:rsid w:val="00EC6C92"/>
    <w:rsid w:val="00EC70A1"/>
    <w:rsid w:val="00ED0063"/>
    <w:rsid w:val="00ED38D6"/>
    <w:rsid w:val="00ED6CDC"/>
    <w:rsid w:val="00ED7551"/>
    <w:rsid w:val="00EE2584"/>
    <w:rsid w:val="00EE6679"/>
    <w:rsid w:val="00EE679B"/>
    <w:rsid w:val="00EF6ADC"/>
    <w:rsid w:val="00F01779"/>
    <w:rsid w:val="00F1080E"/>
    <w:rsid w:val="00F16B99"/>
    <w:rsid w:val="00F24D60"/>
    <w:rsid w:val="00F3310F"/>
    <w:rsid w:val="00F345B9"/>
    <w:rsid w:val="00F376F9"/>
    <w:rsid w:val="00F40DBB"/>
    <w:rsid w:val="00F44359"/>
    <w:rsid w:val="00F45A04"/>
    <w:rsid w:val="00F5565E"/>
    <w:rsid w:val="00F60822"/>
    <w:rsid w:val="00F619DD"/>
    <w:rsid w:val="00F650C4"/>
    <w:rsid w:val="00F701A0"/>
    <w:rsid w:val="00F710DD"/>
    <w:rsid w:val="00F75C27"/>
    <w:rsid w:val="00F909E1"/>
    <w:rsid w:val="00FA63F1"/>
    <w:rsid w:val="00FC3C07"/>
    <w:rsid w:val="00FC3FA6"/>
    <w:rsid w:val="00FD2D49"/>
    <w:rsid w:val="00FD7803"/>
    <w:rsid w:val="00FE0F61"/>
    <w:rsid w:val="00F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583BC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Siln">
    <w:name w:val="Strong"/>
    <w:basedOn w:val="Standardnpsmoodstavce"/>
    <w:uiPriority w:val="22"/>
    <w:qFormat/>
    <w:rsid w:val="00C04B3D"/>
    <w:rPr>
      <w:b/>
      <w:bCs/>
    </w:rPr>
  </w:style>
  <w:style w:type="paragraph" w:customStyle="1" w:styleId="Char40">
    <w:name w:val="Char4"/>
    <w:basedOn w:val="Normln"/>
    <w:rsid w:val="009311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lnweb">
    <w:name w:val="Normal (Web)"/>
    <w:basedOn w:val="Normln"/>
    <w:uiPriority w:val="99"/>
    <w:unhideWhenUsed/>
    <w:rsid w:val="00931181"/>
    <w:pPr>
      <w:spacing w:after="100" w:afterAutospacing="1"/>
      <w:jc w:val="both"/>
    </w:pPr>
  </w:style>
  <w:style w:type="paragraph" w:styleId="Textpoznpodarou">
    <w:name w:val="footnote text"/>
    <w:basedOn w:val="Normln"/>
    <w:link w:val="TextpoznpodarouChar"/>
    <w:uiPriority w:val="99"/>
    <w:qFormat/>
    <w:rsid w:val="008550BC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550BC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8550BC"/>
    <w:rPr>
      <w:vertAlign w:val="superscript"/>
    </w:rPr>
  </w:style>
  <w:style w:type="character" w:styleId="Hypertextovodkaz">
    <w:name w:val="Hyperlink"/>
    <w:uiPriority w:val="99"/>
    <w:unhideWhenUsed/>
    <w:rsid w:val="00C631A6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E27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27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27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27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27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1-Nzevmaterilu">
    <w:name w:val="Styl1 - Název materiálu"/>
    <w:basedOn w:val="Normln"/>
    <w:link w:val="Styl1-NzevmateriluChar"/>
    <w:qFormat/>
    <w:rsid w:val="00496A0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496A04"/>
    <w:rPr>
      <w:rFonts w:ascii="Arial" w:eastAsia="Times New Roman" w:hAnsi="Arial" w:cs="Arial"/>
      <w:b/>
      <w:noProof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9386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39"/>
    <w:rsid w:val="00C5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507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Siln">
    <w:name w:val="Strong"/>
    <w:basedOn w:val="Standardnpsmoodstavce"/>
    <w:uiPriority w:val="22"/>
    <w:qFormat/>
    <w:rsid w:val="00C04B3D"/>
    <w:rPr>
      <w:b/>
      <w:bCs/>
    </w:rPr>
  </w:style>
  <w:style w:type="paragraph" w:customStyle="1" w:styleId="Char40">
    <w:name w:val="Char4"/>
    <w:basedOn w:val="Normln"/>
    <w:rsid w:val="009311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lnweb">
    <w:name w:val="Normal (Web)"/>
    <w:basedOn w:val="Normln"/>
    <w:uiPriority w:val="99"/>
    <w:unhideWhenUsed/>
    <w:rsid w:val="00931181"/>
    <w:pPr>
      <w:spacing w:after="100" w:afterAutospacing="1"/>
      <w:jc w:val="both"/>
    </w:pPr>
  </w:style>
  <w:style w:type="paragraph" w:styleId="Textpoznpodarou">
    <w:name w:val="footnote text"/>
    <w:basedOn w:val="Normln"/>
    <w:link w:val="TextpoznpodarouChar"/>
    <w:uiPriority w:val="99"/>
    <w:qFormat/>
    <w:rsid w:val="008550BC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550BC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8550BC"/>
    <w:rPr>
      <w:vertAlign w:val="superscript"/>
    </w:rPr>
  </w:style>
  <w:style w:type="character" w:styleId="Hypertextovodkaz">
    <w:name w:val="Hyperlink"/>
    <w:uiPriority w:val="99"/>
    <w:unhideWhenUsed/>
    <w:rsid w:val="00C631A6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E27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27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27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27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27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1-Nzevmaterilu">
    <w:name w:val="Styl1 - Název materiálu"/>
    <w:basedOn w:val="Normln"/>
    <w:link w:val="Styl1-NzevmateriluChar"/>
    <w:qFormat/>
    <w:rsid w:val="00496A0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496A04"/>
    <w:rPr>
      <w:rFonts w:ascii="Arial" w:eastAsia="Times New Roman" w:hAnsi="Arial" w:cs="Arial"/>
      <w:b/>
      <w:noProof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9386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39"/>
    <w:rsid w:val="00C5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507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loud.vlada.cz/index.php/s/AzOJVMthKWDVT73/downloa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8DC45-7E2E-46B0-9477-4F5264B2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783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9</cp:revision>
  <cp:lastPrinted>2018-01-31T11:35:00Z</cp:lastPrinted>
  <dcterms:created xsi:type="dcterms:W3CDTF">2020-11-20T11:17:00Z</dcterms:created>
  <dcterms:modified xsi:type="dcterms:W3CDTF">2020-12-01T15:18:00Z</dcterms:modified>
</cp:coreProperties>
</file>